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125.xml.htm"/>
      <w:bookmarkStart w:id="1" w:name="kswkform4_17908861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Genworth Holdings,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11011 WEST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 ALLEN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23"/>
        <w:gridCol w:w="907"/>
        <w:gridCol w:w="779"/>
        <w:gridCol w:w="602"/>
        <w:gridCol w:w="334"/>
        <w:gridCol w:w="991"/>
        <w:gridCol w:w="411"/>
        <w:gridCol w:w="981"/>
        <w:gridCol w:w="1424"/>
        <w:gridCol w:w="947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762,894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48.6528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109,628,073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Share Repurchase Agreement between Enact Holdings, Inc. (the "Issuer") and Genworth Holdings, Inc. dated as of February 2, 2026 (the "Agreement"). A copy of the Agreement can be found as exhibit 99.4 to the Issuer's Form 8-K filed on February 3, 2026, on the SEC's website at: https://www.sec.gov/Archives/edgar/data/1823529/000182352926000003/february2026genworthenacts.htm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price per share determined pursuant to the terms of the Agreement, based on a weighted average price paid by the Issuer for purchases from third-parties.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Genworth Holdings, Inc. owns approximately 81% of the outstanding shares of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J. Baldyga, Vice President and Treasurer on behalf of Genworth Holdings, Inc.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983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3734</Characters>
  <CharactersWithSpaces>4343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