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894715</wp:posOffset>
            </wp:positionV>
            <wp:extent cx="71234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May 13, 2026</w:t>
      </w:r>
    </w:p>
    <w:p>
      <w:pPr>
        <w:spacing w:after="0" w:line="200" w:lineRule="exact"/>
        <w:rPr>
          <w:sz w:val="24"/>
          <w:szCs w:val="24"/>
          <w:color w:val="auto"/>
        </w:rPr>
      </w:pPr>
    </w:p>
    <w:p>
      <w:pPr>
        <w:spacing w:after="0" w:line="2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Enact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1234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1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0" w:lineRule="exact"/>
        <w:rPr>
          <w:sz w:val="24"/>
          <w:szCs w:val="24"/>
          <w:color w:val="auto"/>
        </w:rPr>
      </w:pPr>
    </w:p>
    <w:p>
      <w:pPr>
        <w:spacing w:after="0" w:line="386" w:lineRule="exact"/>
        <w:rPr>
          <w:sz w:val="24"/>
          <w:szCs w:val="24"/>
          <w:color w:val="auto"/>
        </w:rPr>
      </w:pPr>
    </w:p>
    <w:tbl>
      <w:tblPr>
        <w:tblLayout w:type="fixed"/>
        <w:tblInd w:w="700" w:type="dxa"/>
        <w:tblCellMar>
          <w:top w:w="0" w:type="dxa"/>
          <w:left w:w="0" w:type="dxa"/>
          <w:bottom w:w="0" w:type="dxa"/>
          <w:right w:w="0" w:type="dxa"/>
        </w:tblCellMar>
      </w:tblPr>
      <w:tr>
        <w:trPr>
          <w:trHeight w:val="238"/>
        </w:trPr>
        <w:tc>
          <w:tcPr>
            <w:tcW w:w="3280" w:type="dxa"/>
            <w:vAlign w:val="bottom"/>
          </w:tcPr>
          <w:p>
            <w:pPr>
              <w:jc w:val="center"/>
              <w:ind w:right="107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480" w:type="dxa"/>
            <w:vAlign w:val="bottom"/>
          </w:tcPr>
          <w:p>
            <w:pPr>
              <w:jc w:val="center"/>
              <w:ind w:right="133"/>
              <w:spacing w:after="0"/>
              <w:rPr>
                <w:sz w:val="20"/>
                <w:szCs w:val="20"/>
                <w:color w:val="auto"/>
              </w:rPr>
            </w:pPr>
            <w:r>
              <w:rPr>
                <w:rFonts w:ascii="Times New Roman" w:cs="Times New Roman" w:eastAsia="Times New Roman" w:hAnsi="Times New Roman"/>
                <w:sz w:val="16"/>
                <w:szCs w:val="16"/>
                <w:b w:val="1"/>
                <w:bCs w:val="1"/>
                <w:color w:val="auto"/>
              </w:rPr>
              <w:t>001-40399</w:t>
            </w:r>
          </w:p>
        </w:tc>
        <w:tc>
          <w:tcPr>
            <w:tcW w:w="2680" w:type="dxa"/>
            <w:vAlign w:val="bottom"/>
          </w:tcPr>
          <w:p>
            <w:pPr>
              <w:jc w:val="center"/>
              <w:ind w:left="1270"/>
              <w:spacing w:after="0"/>
              <w:rPr>
                <w:sz w:val="20"/>
                <w:szCs w:val="20"/>
                <w:color w:val="auto"/>
              </w:rPr>
            </w:pPr>
            <w:r>
              <w:rPr>
                <w:rFonts w:ascii="Times New Roman" w:cs="Times New Roman" w:eastAsia="Times New Roman" w:hAnsi="Times New Roman"/>
                <w:sz w:val="18"/>
                <w:szCs w:val="18"/>
                <w:b w:val="1"/>
                <w:bCs w:val="1"/>
                <w:color w:val="auto"/>
              </w:rPr>
              <w:t>46-1579166</w:t>
            </w:r>
          </w:p>
        </w:tc>
      </w:tr>
      <w:tr>
        <w:trPr>
          <w:trHeight w:val="257"/>
        </w:trPr>
        <w:tc>
          <w:tcPr>
            <w:tcW w:w="3280" w:type="dxa"/>
            <w:vAlign w:val="bottom"/>
          </w:tcPr>
          <w:p>
            <w:pPr>
              <w:jc w:val="center"/>
              <w:ind w:right="1070"/>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3480" w:type="dxa"/>
            <w:vAlign w:val="bottom"/>
          </w:tcPr>
          <w:p>
            <w:pPr>
              <w:jc w:val="center"/>
              <w:ind w:right="113"/>
              <w:spacing w:after="0"/>
              <w:rPr>
                <w:sz w:val="20"/>
                <w:szCs w:val="20"/>
                <w:color w:val="auto"/>
              </w:rPr>
            </w:pPr>
            <w:r>
              <w:rPr>
                <w:rFonts w:ascii="Times New Roman" w:cs="Times New Roman" w:eastAsia="Times New Roman" w:hAnsi="Times New Roman"/>
                <w:sz w:val="18"/>
                <w:szCs w:val="18"/>
                <w:color w:val="auto"/>
                <w:w w:val="98"/>
              </w:rPr>
              <w:t>(Commission</w:t>
            </w:r>
          </w:p>
        </w:tc>
        <w:tc>
          <w:tcPr>
            <w:tcW w:w="2680" w:type="dxa"/>
            <w:vAlign w:val="bottom"/>
          </w:tcPr>
          <w:p>
            <w:pPr>
              <w:jc w:val="center"/>
              <w:ind w:left="1270"/>
              <w:spacing w:after="0"/>
              <w:rPr>
                <w:sz w:val="20"/>
                <w:szCs w:val="20"/>
                <w:color w:val="auto"/>
              </w:rPr>
            </w:pPr>
            <w:r>
              <w:rPr>
                <w:rFonts w:ascii="Times New Roman" w:cs="Times New Roman" w:eastAsia="Times New Roman" w:hAnsi="Times New Roman"/>
                <w:sz w:val="18"/>
                <w:szCs w:val="18"/>
                <w:color w:val="auto"/>
                <w:w w:val="98"/>
              </w:rPr>
              <w:t>(IRS Employer</w:t>
            </w:r>
          </w:p>
        </w:tc>
      </w:tr>
      <w:tr>
        <w:trPr>
          <w:trHeight w:val="257"/>
        </w:trPr>
        <w:tc>
          <w:tcPr>
            <w:tcW w:w="3280" w:type="dxa"/>
            <w:vAlign w:val="bottom"/>
          </w:tcPr>
          <w:p>
            <w:pPr>
              <w:jc w:val="center"/>
              <w:ind w:right="1070"/>
              <w:spacing w:after="0"/>
              <w:rPr>
                <w:sz w:val="20"/>
                <w:szCs w:val="20"/>
                <w:color w:val="auto"/>
              </w:rPr>
            </w:pPr>
            <w:r>
              <w:rPr>
                <w:rFonts w:ascii="Times New Roman" w:cs="Times New Roman" w:eastAsia="Times New Roman" w:hAnsi="Times New Roman"/>
                <w:sz w:val="18"/>
                <w:szCs w:val="18"/>
                <w:color w:val="auto"/>
                <w:w w:val="99"/>
              </w:rPr>
              <w:t>Incorporation)</w:t>
            </w:r>
          </w:p>
        </w:tc>
        <w:tc>
          <w:tcPr>
            <w:tcW w:w="3480" w:type="dxa"/>
            <w:vAlign w:val="bottom"/>
          </w:tcPr>
          <w:p>
            <w:pPr>
              <w:jc w:val="center"/>
              <w:ind w:right="113"/>
              <w:spacing w:after="0"/>
              <w:rPr>
                <w:sz w:val="20"/>
                <w:szCs w:val="20"/>
                <w:color w:val="auto"/>
              </w:rPr>
            </w:pPr>
            <w:r>
              <w:rPr>
                <w:rFonts w:ascii="Times New Roman" w:cs="Times New Roman" w:eastAsia="Times New Roman" w:hAnsi="Times New Roman"/>
                <w:sz w:val="18"/>
                <w:szCs w:val="18"/>
                <w:color w:val="auto"/>
                <w:w w:val="98"/>
              </w:rPr>
              <w:t>File Number)</w:t>
            </w:r>
          </w:p>
        </w:tc>
        <w:tc>
          <w:tcPr>
            <w:tcW w:w="2680" w:type="dxa"/>
            <w:vAlign w:val="bottom"/>
          </w:tcPr>
          <w:p>
            <w:pPr>
              <w:jc w:val="center"/>
              <w:ind w:left="1250"/>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spacing w:after="0" w:line="315"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8325 Six Forks Road</w:t>
      </w:r>
    </w:p>
    <w:p>
      <w:pPr>
        <w:spacing w:after="0" w:line="29"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Raleigh, North Carolina 27615</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(919) 846-4100</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234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5"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60" w:hanging="352"/>
        <w:spacing w:after="0" w:line="234" w:lineRule="auto"/>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1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360" w:type="dxa"/>
            <w:vAlign w:val="bottom"/>
          </w:tcPr>
          <w:p>
            <w:pPr>
              <w:jc w:val="center"/>
              <w:ind w:right="113"/>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180" w:type="dxa"/>
            <w:vAlign w:val="bottom"/>
          </w:tcPr>
          <w:p>
            <w:pPr>
              <w:spacing w:after="0"/>
              <w:rPr>
                <w:sz w:val="20"/>
                <w:szCs w:val="20"/>
                <w:color w:val="auto"/>
              </w:rPr>
            </w:pPr>
          </w:p>
        </w:tc>
        <w:tc>
          <w:tcPr>
            <w:tcW w:w="4700" w:type="dxa"/>
            <w:vAlign w:val="bottom"/>
          </w:tcPr>
          <w:p>
            <w:pPr>
              <w:spacing w:after="0"/>
              <w:rPr>
                <w:sz w:val="20"/>
                <w:szCs w:val="20"/>
                <w:color w:val="auto"/>
              </w:rPr>
            </w:pPr>
          </w:p>
        </w:tc>
      </w:tr>
      <w:tr>
        <w:trPr>
          <w:trHeight w:val="520"/>
        </w:trPr>
        <w:tc>
          <w:tcPr>
            <w:tcW w:w="436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80" w:type="dxa"/>
            <w:vAlign w:val="bottom"/>
            <w:tcBorders>
              <w:bottom w:val="single" w:sz="8" w:color="auto"/>
            </w:tcBorders>
          </w:tcPr>
          <w:p>
            <w:pPr>
              <w:jc w:val="center"/>
              <w:ind w:right="375"/>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70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10"/>
        </w:trPr>
        <w:tc>
          <w:tcPr>
            <w:tcW w:w="4360" w:type="dxa"/>
            <w:vAlign w:val="bottom"/>
          </w:tcPr>
          <w:p>
            <w:pPr>
              <w:jc w:val="center"/>
              <w:ind w:right="133"/>
              <w:spacing w:after="0"/>
              <w:rPr>
                <w:sz w:val="20"/>
                <w:szCs w:val="20"/>
                <w:color w:val="auto"/>
              </w:rPr>
            </w:pPr>
            <w:r>
              <w:rPr>
                <w:rFonts w:ascii="Times New Roman" w:cs="Times New Roman" w:eastAsia="Times New Roman" w:hAnsi="Times New Roman"/>
                <w:sz w:val="16"/>
                <w:szCs w:val="16"/>
                <w:color w:val="auto"/>
              </w:rPr>
              <w:t>Common stock, par value $0.01 per share</w:t>
            </w:r>
          </w:p>
        </w:tc>
        <w:tc>
          <w:tcPr>
            <w:tcW w:w="2180" w:type="dxa"/>
            <w:vAlign w:val="bottom"/>
          </w:tcPr>
          <w:p>
            <w:pPr>
              <w:jc w:val="center"/>
              <w:ind w:right="375"/>
              <w:spacing w:after="0"/>
              <w:rPr>
                <w:sz w:val="20"/>
                <w:szCs w:val="20"/>
                <w:color w:val="auto"/>
              </w:rPr>
            </w:pPr>
            <w:r>
              <w:rPr>
                <w:rFonts w:ascii="Times New Roman" w:cs="Times New Roman" w:eastAsia="Times New Roman" w:hAnsi="Times New Roman"/>
                <w:sz w:val="16"/>
                <w:szCs w:val="16"/>
                <w:color w:val="auto"/>
                <w:w w:val="99"/>
              </w:rPr>
              <w:t>ACT</w:t>
            </w:r>
          </w:p>
        </w:tc>
        <w:tc>
          <w:tcPr>
            <w:tcW w:w="4700" w:type="dxa"/>
            <w:vAlign w:val="bottom"/>
          </w:tcPr>
          <w:p>
            <w:pPr>
              <w:jc w:val="center"/>
              <w:ind w:right="115"/>
              <w:spacing w:after="0"/>
              <w:rPr>
                <w:sz w:val="20"/>
                <w:szCs w:val="20"/>
                <w:color w:val="auto"/>
              </w:rPr>
            </w:pPr>
            <w:r>
              <w:rPr>
                <w:rFonts w:ascii="Times New Roman" w:cs="Times New Roman" w:eastAsia="Times New Roman" w:hAnsi="Times New Roman"/>
                <w:sz w:val="16"/>
                <w:szCs w:val="16"/>
                <w:color w:val="auto"/>
              </w:rPr>
              <w:t>The Nasdaq Stock Market</w:t>
            </w:r>
          </w:p>
        </w:tc>
      </w:tr>
    </w:tbl>
    <w:p>
      <w:pPr>
        <w:spacing w:after="0" w:line="200" w:lineRule="exact"/>
        <w:rPr>
          <w:sz w:val="24"/>
          <w:szCs w:val="24"/>
          <w:color w:val="auto"/>
        </w:rPr>
      </w:pPr>
    </w:p>
    <w:p>
      <w:pPr>
        <w:spacing w:after="0" w:line="381"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79"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707390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145415</wp:posOffset>
            </wp:positionV>
            <wp:extent cx="70637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6374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ind w:left="20"/>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16" w:lineRule="exact"/>
        <w:rPr>
          <w:sz w:val="20"/>
          <w:szCs w:val="20"/>
          <w:color w:val="auto"/>
        </w:rPr>
      </w:pPr>
    </w:p>
    <w:p>
      <w:pPr>
        <w:ind w:left="240" w:right="160" w:firstLine="396"/>
        <w:spacing w:after="0" w:line="266" w:lineRule="auto"/>
        <w:rPr>
          <w:sz w:val="20"/>
          <w:szCs w:val="20"/>
          <w:color w:val="auto"/>
        </w:rPr>
      </w:pPr>
      <w:r>
        <w:rPr>
          <w:rFonts w:ascii="Times New Roman" w:cs="Times New Roman" w:eastAsia="Times New Roman" w:hAnsi="Times New Roman"/>
          <w:sz w:val="18"/>
          <w:szCs w:val="18"/>
          <w:color w:val="auto"/>
        </w:rPr>
        <w:t>On May 13, 2026, the Corporation held its Annual Meeting of Stockholders (the “Annual Meeting”). The final voting results for each of the proposals submitted to a vote of the Corporation’s stockholders at the Annual Meeting are as follows: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Proposal 1: Election of directors to serve until the Corporation’s 2027 Annual Meeting of Stockholders.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Votes</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Votes</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w:t>
            </w:r>
          </w:p>
        </w:tc>
      </w:tr>
      <w:tr>
        <w:trPr>
          <w:trHeight w:val="190"/>
        </w:trPr>
        <w:tc>
          <w:tcPr>
            <w:tcW w:w="2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“Withheld”</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Non-Votes</w:t>
            </w:r>
          </w:p>
        </w:tc>
      </w:tr>
      <w:tr>
        <w:trPr>
          <w:trHeight w:val="23"/>
        </w:trPr>
        <w:tc>
          <w:tcPr>
            <w:tcW w:w="2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7"/>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DOMINIC J. ADDESSO</w:t>
            </w:r>
          </w:p>
        </w:tc>
        <w:tc>
          <w:tcPr>
            <w:tcW w:w="120" w:type="dxa"/>
            <w:vAlign w:val="bottom"/>
            <w:shd w:val="clear" w:color="auto" w:fill="CCEEFF"/>
          </w:tcPr>
          <w:p>
            <w:pPr>
              <w:spacing w:after="0"/>
              <w:rPr>
                <w:sz w:val="20"/>
                <w:szCs w:val="20"/>
                <w:color w:val="auto"/>
              </w:rPr>
            </w:pP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138,206,570</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68,685</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1,032,773</w:t>
            </w:r>
          </w:p>
        </w:tc>
      </w:tr>
      <w:tr>
        <w:trPr>
          <w:trHeight w:val="235"/>
        </w:trPr>
        <w:tc>
          <w:tcPr>
            <w:tcW w:w="2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MICHAEL A. BLESS</w:t>
            </w:r>
          </w:p>
        </w:tc>
        <w:tc>
          <w:tcPr>
            <w:tcW w:w="1720" w:type="dxa"/>
            <w:vAlign w:val="bottom"/>
            <w:gridSpan w:val="2"/>
          </w:tcPr>
          <w:p>
            <w:pPr>
              <w:jc w:val="center"/>
              <w:ind w:left="55"/>
              <w:spacing w:after="0"/>
              <w:rPr>
                <w:sz w:val="20"/>
                <w:szCs w:val="20"/>
                <w:color w:val="auto"/>
              </w:rPr>
            </w:pPr>
            <w:r>
              <w:rPr>
                <w:rFonts w:ascii="Times New Roman" w:cs="Times New Roman" w:eastAsia="Times New Roman" w:hAnsi="Times New Roman"/>
                <w:sz w:val="17"/>
                <w:szCs w:val="17"/>
                <w:color w:val="auto"/>
              </w:rPr>
              <w:t>138,233,301</w:t>
            </w:r>
          </w:p>
        </w:tc>
        <w:tc>
          <w:tcPr>
            <w:tcW w:w="15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41,954</w:t>
            </w:r>
          </w:p>
        </w:tc>
        <w:tc>
          <w:tcPr>
            <w:tcW w:w="15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1,032,773</w:t>
            </w:r>
          </w:p>
        </w:tc>
      </w:tr>
      <w:tr>
        <w:trPr>
          <w:trHeight w:val="251"/>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JOHN D. FISK</w:t>
            </w: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138,233,893</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41,362</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1,032,773</w:t>
            </w:r>
          </w:p>
        </w:tc>
      </w:tr>
      <w:tr>
        <w:trPr>
          <w:trHeight w:val="235"/>
        </w:trPr>
        <w:tc>
          <w:tcPr>
            <w:tcW w:w="2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ROHIT GUPTA</w:t>
            </w:r>
          </w:p>
        </w:tc>
        <w:tc>
          <w:tcPr>
            <w:tcW w:w="1720" w:type="dxa"/>
            <w:vAlign w:val="bottom"/>
            <w:gridSpan w:val="2"/>
          </w:tcPr>
          <w:p>
            <w:pPr>
              <w:jc w:val="center"/>
              <w:ind w:left="55"/>
              <w:spacing w:after="0"/>
              <w:rPr>
                <w:sz w:val="20"/>
                <w:szCs w:val="20"/>
                <w:color w:val="auto"/>
              </w:rPr>
            </w:pPr>
            <w:r>
              <w:rPr>
                <w:rFonts w:ascii="Times New Roman" w:cs="Times New Roman" w:eastAsia="Times New Roman" w:hAnsi="Times New Roman"/>
                <w:sz w:val="17"/>
                <w:szCs w:val="17"/>
                <w:color w:val="auto"/>
              </w:rPr>
              <w:t>138,234,122</w:t>
            </w:r>
          </w:p>
        </w:tc>
        <w:tc>
          <w:tcPr>
            <w:tcW w:w="15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41,133</w:t>
            </w:r>
          </w:p>
        </w:tc>
        <w:tc>
          <w:tcPr>
            <w:tcW w:w="15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1,032,773</w:t>
            </w:r>
          </w:p>
        </w:tc>
      </w:tr>
      <w:tr>
        <w:trPr>
          <w:trHeight w:val="251"/>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SHEILA HOODA</w:t>
            </w: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136,468,007</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1,807,248</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1,032,773</w:t>
            </w:r>
          </w:p>
        </w:tc>
      </w:tr>
      <w:tr>
        <w:trPr>
          <w:trHeight w:val="235"/>
        </w:trPr>
        <w:tc>
          <w:tcPr>
            <w:tcW w:w="2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THOMAS J. MCINERNEY</w:t>
            </w:r>
          </w:p>
        </w:tc>
        <w:tc>
          <w:tcPr>
            <w:tcW w:w="1720" w:type="dxa"/>
            <w:vAlign w:val="bottom"/>
            <w:gridSpan w:val="2"/>
          </w:tcPr>
          <w:p>
            <w:pPr>
              <w:jc w:val="center"/>
              <w:ind w:left="55"/>
              <w:spacing w:after="0"/>
              <w:rPr>
                <w:sz w:val="20"/>
                <w:szCs w:val="20"/>
                <w:color w:val="auto"/>
              </w:rPr>
            </w:pPr>
            <w:r>
              <w:rPr>
                <w:rFonts w:ascii="Times New Roman" w:cs="Times New Roman" w:eastAsia="Times New Roman" w:hAnsi="Times New Roman"/>
                <w:sz w:val="17"/>
                <w:szCs w:val="17"/>
                <w:color w:val="auto"/>
              </w:rPr>
              <w:t>127,998,214</w:t>
            </w:r>
          </w:p>
        </w:tc>
        <w:tc>
          <w:tcPr>
            <w:tcW w:w="15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10,277,041</w:t>
            </w:r>
          </w:p>
        </w:tc>
        <w:tc>
          <w:tcPr>
            <w:tcW w:w="15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1,032,773</w:t>
            </w:r>
          </w:p>
        </w:tc>
      </w:tr>
      <w:tr>
        <w:trPr>
          <w:trHeight w:val="251"/>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 ELIZABETH MITCHELL</w:t>
            </w: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138,234,355</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40,900</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1,032,773</w:t>
            </w:r>
          </w:p>
        </w:tc>
      </w:tr>
      <w:tr>
        <w:trPr>
          <w:trHeight w:val="235"/>
        </w:trPr>
        <w:tc>
          <w:tcPr>
            <w:tcW w:w="2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ROBERT P. RESTREPO, JR.</w:t>
            </w:r>
          </w:p>
        </w:tc>
        <w:tc>
          <w:tcPr>
            <w:tcW w:w="1720" w:type="dxa"/>
            <w:vAlign w:val="bottom"/>
            <w:gridSpan w:val="2"/>
          </w:tcPr>
          <w:p>
            <w:pPr>
              <w:jc w:val="center"/>
              <w:ind w:left="55"/>
              <w:spacing w:after="0"/>
              <w:rPr>
                <w:sz w:val="20"/>
                <w:szCs w:val="20"/>
                <w:color w:val="auto"/>
              </w:rPr>
            </w:pPr>
            <w:r>
              <w:rPr>
                <w:rFonts w:ascii="Times New Roman" w:cs="Times New Roman" w:eastAsia="Times New Roman" w:hAnsi="Times New Roman"/>
                <w:sz w:val="17"/>
                <w:szCs w:val="17"/>
                <w:color w:val="auto"/>
              </w:rPr>
              <w:t>137,877,183</w:t>
            </w:r>
          </w:p>
        </w:tc>
        <w:tc>
          <w:tcPr>
            <w:tcW w:w="15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398,072</w:t>
            </w:r>
          </w:p>
        </w:tc>
        <w:tc>
          <w:tcPr>
            <w:tcW w:w="15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1,032,773</w:t>
            </w:r>
          </w:p>
        </w:tc>
      </w:tr>
      <w:tr>
        <w:trPr>
          <w:trHeight w:val="251"/>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DEBRA W. STILL</w:t>
            </w: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138,114,825</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160,430</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1,032,773</w:t>
            </w:r>
          </w:p>
        </w:tc>
      </w:tr>
      <w:tr>
        <w:trPr>
          <w:trHeight w:val="235"/>
        </w:trPr>
        <w:tc>
          <w:tcPr>
            <w:tcW w:w="2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WESTLEY V. THOMPSON</w:t>
            </w:r>
          </w:p>
        </w:tc>
        <w:tc>
          <w:tcPr>
            <w:tcW w:w="1720" w:type="dxa"/>
            <w:vAlign w:val="bottom"/>
            <w:gridSpan w:val="2"/>
          </w:tcPr>
          <w:p>
            <w:pPr>
              <w:jc w:val="center"/>
              <w:ind w:left="55"/>
              <w:spacing w:after="0"/>
              <w:rPr>
                <w:sz w:val="20"/>
                <w:szCs w:val="20"/>
                <w:color w:val="auto"/>
              </w:rPr>
            </w:pPr>
            <w:r>
              <w:rPr>
                <w:rFonts w:ascii="Times New Roman" w:cs="Times New Roman" w:eastAsia="Times New Roman" w:hAnsi="Times New Roman"/>
                <w:sz w:val="17"/>
                <w:szCs w:val="17"/>
                <w:color w:val="auto"/>
              </w:rPr>
              <w:t>137,877,927</w:t>
            </w:r>
          </w:p>
        </w:tc>
        <w:tc>
          <w:tcPr>
            <w:tcW w:w="15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397,328</w:t>
            </w:r>
          </w:p>
        </w:tc>
        <w:tc>
          <w:tcPr>
            <w:tcW w:w="15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1,032,773</w:t>
            </w:r>
          </w:p>
        </w:tc>
      </w:tr>
      <w:tr>
        <w:trPr>
          <w:trHeight w:val="251"/>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JEROME T. UPTON</w:t>
            </w: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138,231,480</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43,775</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1,032,773</w:t>
            </w: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Proposal 2: Advisory vote to approve Named Executive Officer compensation.</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Votes</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Votes</w:t>
            </w: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Abstentions</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195"/>
        </w:trPr>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42"/>
        </w:trPr>
        <w:tc>
          <w:tcPr>
            <w:tcW w:w="1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137,729,223</w:t>
            </w:r>
          </w:p>
        </w:tc>
        <w:tc>
          <w:tcPr>
            <w:tcW w:w="100" w:type="dxa"/>
            <w:vAlign w:val="bottom"/>
            <w:tcBorders>
              <w:top w:val="single" w:sz="8" w:color="CCEEFF"/>
            </w:tcBorders>
            <w:shd w:val="clear" w:color="auto" w:fill="CCEEFF"/>
          </w:tcPr>
          <w:p>
            <w:pPr>
              <w:spacing w:after="0"/>
              <w:rPr>
                <w:sz w:val="21"/>
                <w:szCs w:val="21"/>
                <w:color w:val="auto"/>
              </w:rPr>
            </w:pPr>
          </w:p>
        </w:tc>
        <w:tc>
          <w:tcPr>
            <w:tcW w:w="1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538,585</w:t>
            </w:r>
          </w:p>
        </w:tc>
        <w:tc>
          <w:tcPr>
            <w:tcW w:w="100" w:type="dxa"/>
            <w:vAlign w:val="bottom"/>
            <w:tcBorders>
              <w:top w:val="single" w:sz="8" w:color="CCEEFF"/>
            </w:tcBorders>
            <w:shd w:val="clear" w:color="auto" w:fill="CCEEFF"/>
          </w:tcPr>
          <w:p>
            <w:pPr>
              <w:spacing w:after="0"/>
              <w:rPr>
                <w:sz w:val="21"/>
                <w:szCs w:val="21"/>
                <w:color w:val="auto"/>
              </w:rPr>
            </w:pPr>
          </w:p>
        </w:tc>
        <w:tc>
          <w:tcPr>
            <w:tcW w:w="1600" w:type="dxa"/>
            <w:vAlign w:val="bottom"/>
            <w:tcBorders>
              <w:top w:val="single" w:sz="8" w:color="auto"/>
            </w:tcBorders>
            <w:shd w:val="clear" w:color="auto" w:fill="CCEEFF"/>
          </w:tcPr>
          <w:p>
            <w:pPr>
              <w:jc w:val="right"/>
              <w:ind w:right="521"/>
              <w:spacing w:after="0"/>
              <w:rPr>
                <w:sz w:val="20"/>
                <w:szCs w:val="20"/>
                <w:color w:val="auto"/>
              </w:rPr>
            </w:pPr>
            <w:r>
              <w:rPr>
                <w:rFonts w:ascii="Times New Roman" w:cs="Times New Roman" w:eastAsia="Times New Roman" w:hAnsi="Times New Roman"/>
                <w:sz w:val="17"/>
                <w:szCs w:val="17"/>
                <w:color w:val="auto"/>
              </w:rPr>
              <w:t>7,447</w:t>
            </w:r>
          </w:p>
        </w:tc>
        <w:tc>
          <w:tcPr>
            <w:tcW w:w="120" w:type="dxa"/>
            <w:vAlign w:val="bottom"/>
            <w:tcBorders>
              <w:top w:val="single" w:sz="8" w:color="CCEEFF"/>
            </w:tcBorders>
            <w:shd w:val="clear" w:color="auto" w:fill="CCEEFF"/>
          </w:tcPr>
          <w:p>
            <w:pPr>
              <w:spacing w:after="0"/>
              <w:rPr>
                <w:sz w:val="21"/>
                <w:szCs w:val="21"/>
                <w:color w:val="auto"/>
              </w:rPr>
            </w:pPr>
          </w:p>
        </w:tc>
        <w:tc>
          <w:tcPr>
            <w:tcW w:w="1580" w:type="dxa"/>
            <w:vAlign w:val="bottom"/>
            <w:tcBorders>
              <w:top w:val="single" w:sz="8" w:color="auto"/>
            </w:tcBorders>
            <w:shd w:val="clear" w:color="auto" w:fill="CCEEFF"/>
          </w:tcPr>
          <w:p>
            <w:pPr>
              <w:jc w:val="right"/>
              <w:ind w:right="381"/>
              <w:spacing w:after="0"/>
              <w:rPr>
                <w:sz w:val="20"/>
                <w:szCs w:val="20"/>
                <w:color w:val="auto"/>
              </w:rPr>
            </w:pPr>
            <w:r>
              <w:rPr>
                <w:rFonts w:ascii="Times New Roman" w:cs="Times New Roman" w:eastAsia="Times New Roman" w:hAnsi="Times New Roman"/>
                <w:sz w:val="17"/>
                <w:szCs w:val="17"/>
                <w:color w:val="auto"/>
              </w:rPr>
              <w:t>1,032,773</w:t>
            </w:r>
          </w:p>
        </w:tc>
      </w:tr>
    </w:tbl>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Proposal 3: Ratification of the appointment of KPMG LLP as the Corporation’s independent registered public accounting firm for the 2026 fiscal year.</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5"/>
              </w:rPr>
              <w:t>Votes</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Votes</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Abstentions</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190"/>
        </w:trPr>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3"/>
        </w:trPr>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90"/>
        </w:trPr>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138,540,938</w:t>
            </w:r>
          </w:p>
        </w:tc>
        <w:tc>
          <w:tcPr>
            <w:tcW w:w="120" w:type="dxa"/>
            <w:vAlign w:val="bottom"/>
            <w:shd w:val="clear" w:color="auto" w:fill="CCEEFF"/>
          </w:tcPr>
          <w:p>
            <w:pPr>
              <w:spacing w:after="0"/>
              <w:rPr>
                <w:sz w:val="24"/>
                <w:szCs w:val="24"/>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765,884</w:t>
            </w:r>
          </w:p>
        </w:tc>
        <w:tc>
          <w:tcPr>
            <w:tcW w:w="10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521"/>
              <w:spacing w:after="0"/>
              <w:rPr>
                <w:sz w:val="20"/>
                <w:szCs w:val="20"/>
                <w:color w:val="auto"/>
              </w:rPr>
            </w:pPr>
            <w:r>
              <w:rPr>
                <w:rFonts w:ascii="Times New Roman" w:cs="Times New Roman" w:eastAsia="Times New Roman" w:hAnsi="Times New Roman"/>
                <w:sz w:val="17"/>
                <w:szCs w:val="17"/>
                <w:color w:val="auto"/>
              </w:rPr>
              <w:t>1,206</w:t>
            </w: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670"/>
              <w:spacing w:after="0"/>
              <w:rPr>
                <w:sz w:val="20"/>
                <w:szCs w:val="20"/>
                <w:color w:val="auto"/>
              </w:rPr>
            </w:pPr>
            <w:r>
              <w:rPr>
                <w:rFonts w:ascii="Arial" w:cs="Arial" w:eastAsia="Arial" w:hAnsi="Arial"/>
                <w:sz w:val="22"/>
                <w:szCs w:val="22"/>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1305" w:right="719" w:bottom="1440" w:gutter="0" w:footer="0" w:header="0"/>
        </w:sectPr>
      </w:pPr>
    </w:p>
    <w:bookmarkStart w:id="2" w:name="page3"/>
    <w:bookmarkEnd w:id="2"/>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2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Enact Holdings, Inc.</w:t>
      </w:r>
    </w:p>
    <w:p>
      <w:pPr>
        <w:spacing w:after="0" w:line="252" w:lineRule="exact"/>
        <w:rPr>
          <w:sz w:val="20"/>
          <w:szCs w:val="20"/>
          <w:color w:val="auto"/>
        </w:rPr>
      </w:pPr>
    </w:p>
    <w:p>
      <w:pPr>
        <w:ind w:left="5600"/>
        <w:spacing w:after="0"/>
        <w:tabs>
          <w:tab w:leader="none" w:pos="6100" w:val="left"/>
        </w:tabs>
        <w:rPr>
          <w:sz w:val="20"/>
          <w:szCs w:val="20"/>
          <w:color w:val="auto"/>
        </w:rPr>
      </w:pPr>
      <w:r>
        <w:rPr>
          <w:rFonts w:ascii="Times New Roman" w:cs="Times New Roman" w:eastAsia="Times New Roman" w:hAnsi="Times New Roman"/>
          <w:sz w:val="18"/>
          <w:szCs w:val="18"/>
          <w:color w:val="auto"/>
        </w:rPr>
        <w:t>By:</w:t>
        <w:tab/>
        <w:t>/s/ Hardin Dean Mitchell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26035</wp:posOffset>
            </wp:positionV>
            <wp:extent cx="32575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63"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Hardin Dean Mitchell</w:t>
      </w:r>
    </w:p>
    <w:p>
      <w:pPr>
        <w:spacing w:after="0" w:line="61" w:lineRule="exact"/>
        <w:rPr>
          <w:sz w:val="20"/>
          <w:szCs w:val="20"/>
          <w:color w:val="auto"/>
        </w:rPr>
      </w:pPr>
    </w:p>
    <w:p>
      <w:pPr>
        <w:sectPr>
          <w:pgSz w:w="11900" w:h="16838" w:orient="portrait"/>
          <w:cols w:equalWidth="0" w:num="2">
            <w:col w:w="6600" w:space="320"/>
            <w:col w:w="4320"/>
          </w:cols>
          <w:pgMar w:left="320" w:top="1440" w:right="339" w:bottom="1440" w:gutter="0" w:footer="0" w:header="0"/>
          <w:type w:val="continuous"/>
        </w:sectPr>
      </w:pPr>
    </w:p>
    <w:p>
      <w:pPr>
        <w:ind w:left="61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br w:type="column"/>
      </w:r>
    </w:p>
    <w:p>
      <w:pPr>
        <w:ind w:right="460"/>
        <w:spacing w:after="0" w:line="266" w:lineRule="auto"/>
        <w:rPr>
          <w:sz w:val="20"/>
          <w:szCs w:val="20"/>
          <w:color w:val="auto"/>
        </w:rPr>
      </w:pPr>
      <w:r>
        <w:rPr>
          <w:rFonts w:ascii="Times New Roman" w:cs="Times New Roman" w:eastAsia="Times New Roman" w:hAnsi="Times New Roman"/>
          <w:sz w:val="18"/>
          <w:szCs w:val="18"/>
          <w:color w:val="auto"/>
        </w:rPr>
        <w:t>Executive Vice President, Chief Financial Officer and Treasurer</w:t>
      </w:r>
    </w:p>
    <w:p>
      <w:pPr>
        <w:spacing w:after="0" w:line="14" w:lineRule="exact"/>
        <w:rPr>
          <w:sz w:val="20"/>
          <w:szCs w:val="20"/>
          <w:color w:val="auto"/>
        </w:rPr>
      </w:pPr>
    </w:p>
    <w:p>
      <w:pPr>
        <w:sectPr>
          <w:pgSz w:w="11900" w:h="16838" w:orient="portrait"/>
          <w:cols w:equalWidth="0" w:num="2">
            <w:col w:w="6520" w:space="400"/>
            <w:col w:w="4320"/>
          </w:cols>
          <w:pgMar w:left="320" w:top="1440"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auto"/>
        </w:rPr>
        <w:t>Dated: May 15,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sectPr>
      <w:pgSz w:w="11900" w:h="16838" w:orient="portrait"/>
      <w:cols w:equalWidth="0" w:num="1">
        <w:col w:w="11240"/>
      </w:cols>
      <w:pgMar w:left="320" w:top="1440"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2026-05-15T15:12:01Z</dcterms:created>
  <dcterms:modified xsi:type="dcterms:W3CDTF">2026-05-15T15:12:01Z</dcterms:modified>
</cp:coreProperties>
</file>