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345576.xml.htm"/>
      <w:bookmarkStart w:id="1" w:name="kswkform4_178034557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Genworth Holdings,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11011 WEST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GLEN ALLEN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23"/>
        <w:gridCol w:w="907"/>
        <w:gridCol w:w="779"/>
        <w:gridCol w:w="602"/>
        <w:gridCol w:w="334"/>
        <w:gridCol w:w="991"/>
        <w:gridCol w:w="411"/>
        <w:gridCol w:w="981"/>
        <w:gridCol w:w="1424"/>
        <w:gridCol w:w="947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602,440</w:t>
            </w:r>
          </w:p>
        </w:tc>
        <w:tc>
          <w:tcPr>
            <w:tcW w:w="4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42.9143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112,206,639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Share Repurchase Agreement between Enact Holdings, Inc. (the "Issuer") and Genworth Holdings, Inc. dated as of February 2, 2026 (the "Agreement"). A copy of the Agreement can be found as exhibit 99.4 to the Issuer's Form 8-K filed on February 3, 2026, on the SEC's website at: https://www.sec.gov/Archives/edgar/data/1823529/000182352926000003/february2026genworthenacts.htm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price per share determined pursuant to the terms of the Agreement, based on a weighted average price paid by the Issuer for purchases from third-parties.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Genworth Holdings, Inc. owns approximately 81% of the outstanding shares of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Lisa J. Baldyga, Vice President and Treasurer on behalf of Genworth Holdings, Inc.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2983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3714</Characters>
  <CharactersWithSpaces>4329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