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March 23, 2021</w:t>
      </w:r>
    </w:p>
    <w:p>
      <w:pPr>
        <w:spacing w:after="0" w:line="15" w:lineRule="exact"/>
        <w:rPr>
          <w:sz w:val="24"/>
          <w:szCs w:val="24"/>
          <w:color w:val="auto"/>
        </w:rPr>
      </w:pPr>
    </w:p>
    <w:p>
      <w:pPr>
        <w:ind w:left="9640" w:right="340" w:hanging="8851"/>
        <w:spacing w:after="0" w:line="282"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3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jc w:val="center"/>
        <w:spacing w:after="0"/>
        <w:rPr>
          <w:sz w:val="20"/>
          <w:szCs w:val="20"/>
          <w:color w:val="auto"/>
        </w:rPr>
      </w:pPr>
      <w:r>
        <w:rPr>
          <w:rFonts w:ascii="Arial" w:cs="Arial" w:eastAsia="Arial" w:hAnsi="Arial"/>
          <w:sz w:val="13"/>
          <w:szCs w:val="13"/>
          <w:b w:val="1"/>
          <w:bCs w:val="1"/>
          <w:i w:val="1"/>
          <w:iCs w:val="1"/>
          <w:color w:val="auto"/>
        </w:rPr>
        <w:t>UNDER</w:t>
      </w:r>
    </w:p>
    <w:p>
      <w:pPr>
        <w:jc w:val="center"/>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Genworth Mortgage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5" w:lineRule="exact"/>
        <w:rPr>
          <w:sz w:val="24"/>
          <w:szCs w:val="24"/>
          <w:color w:val="auto"/>
        </w:rPr>
      </w:pPr>
    </w:p>
    <w:tbl>
      <w:tblPr>
        <w:tblLayout w:type="fixed"/>
        <w:tblInd w:w="1220" w:type="dxa"/>
        <w:tblCellMar>
          <w:top w:w="0" w:type="dxa"/>
          <w:left w:w="0" w:type="dxa"/>
          <w:bottom w:w="0" w:type="dxa"/>
          <w:right w:w="0" w:type="dxa"/>
        </w:tblCellMar>
      </w:tblP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8"/>
              </w:rPr>
              <w:t>Delaware</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6411</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7"/>
              </w:rPr>
              <w:t>46-1579166</w:t>
            </w:r>
          </w:p>
        </w:tc>
      </w:tr>
      <w:tr>
        <w:trPr>
          <w:trHeight w:val="183"/>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(State or other jurisdiction of</w:t>
            </w:r>
          </w:p>
        </w:tc>
        <w:tc>
          <w:tcPr>
            <w:tcW w:w="36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(Primary Standard Industrial</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(I.R.S. Employer</w:t>
            </w:r>
          </w:p>
        </w:tc>
      </w:t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incorporation or organization)</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Classification Code Number)</w:t>
            </w:r>
          </w:p>
        </w:tc>
        <w:tc>
          <w:tcPr>
            <w:tcW w:w="2320" w:type="dxa"/>
            <w:vAlign w:val="bottom"/>
          </w:tcPr>
          <w:p>
            <w:pPr>
              <w:jc w:val="center"/>
              <w:ind w:left="91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8325 Six Forks Road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Evan Stolove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Genworth Mortgage Holdings, Inc.</w:t>
      </w:r>
    </w:p>
    <w:p>
      <w:pPr>
        <w:jc w:val="center"/>
        <w:spacing w:after="0"/>
        <w:rPr>
          <w:sz w:val="20"/>
          <w:szCs w:val="20"/>
          <w:color w:val="auto"/>
        </w:rPr>
      </w:pPr>
      <w:r>
        <w:rPr>
          <w:rFonts w:ascii="Arial" w:cs="Arial" w:eastAsia="Arial" w:hAnsi="Arial"/>
          <w:sz w:val="13"/>
          <w:szCs w:val="13"/>
          <w:b w:val="1"/>
          <w:bCs w:val="1"/>
          <w:color w:val="auto"/>
        </w:rPr>
        <w:t>8325 Six Forks Road</w:t>
      </w: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tbl>
      <w:tblPr>
        <w:tblLayout w:type="fixed"/>
        <w:tblInd w:w="900" w:type="dxa"/>
        <w:tblCellMar>
          <w:top w:w="0" w:type="dxa"/>
          <w:left w:w="0" w:type="dxa"/>
          <w:bottom w:w="0" w:type="dxa"/>
          <w:right w:w="0" w:type="dxa"/>
        </w:tblCellMar>
      </w:tblPr>
      <w:tr>
        <w:trPr>
          <w:trHeight w:val="168"/>
        </w:trPr>
        <w:tc>
          <w:tcPr>
            <w:tcW w:w="1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Copies to:</w:t>
            </w:r>
          </w:p>
        </w:tc>
        <w:tc>
          <w:tcPr>
            <w:tcW w:w="2500" w:type="dxa"/>
            <w:vAlign w:val="bottom"/>
          </w:tcPr>
          <w:p>
            <w:pPr>
              <w:spacing w:after="0"/>
              <w:rPr>
                <w:sz w:val="14"/>
                <w:szCs w:val="14"/>
                <w:color w:val="auto"/>
              </w:rPr>
            </w:pPr>
          </w:p>
        </w:tc>
      </w:tr>
      <w:tr>
        <w:trPr>
          <w:trHeight w:val="332"/>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Perry J. Shwachman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Dwight S. Yoo</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Evan Stolove</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Craig B. Brod</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Michael J. Schiavone</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Skadden, Arps, Slate, Meagher &amp;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Genworth Mortgage Holdings, Inc.</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Jeffrey D. Karpf</w:t>
            </w:r>
          </w:p>
        </w:tc>
      </w:tr>
      <w:tr>
        <w:trPr>
          <w:trHeight w:val="149"/>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7"/>
              </w:rPr>
              <w:t>Sean M. Carney</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Flom LLP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Senior Vice President and General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Cleary Gottlieb Steen &amp; Hamilton LLP</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David Ni</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One Manhattan West</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3"/>
              </w:rPr>
              <w:t>Counsel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One Liberty Plaza</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Sidley Austin LLP</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New York, New York 10001</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8325 Six Forks Road</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New York, New York 10006</w:t>
            </w:r>
          </w:p>
        </w:tc>
      </w:tr>
      <w:tr>
        <w:trPr>
          <w:trHeight w:val="149"/>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One South Dearborn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Telephone: (212) 735-3000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Raleigh, North Carolina 27615</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Telephone: (212) 225-2000</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Chicago, Illinois 60603</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Telecopy: (212) 735-2000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Telephone: (919) 846-4100</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Telecopy: (212) 225-3999</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Telephone: (312) 853-7000</w:t>
            </w:r>
          </w:p>
        </w:tc>
        <w:tc>
          <w:tcPr>
            <w:tcW w:w="2420" w:type="dxa"/>
            <w:vAlign w:val="bottom"/>
          </w:tcPr>
          <w:p>
            <w:pPr>
              <w:spacing w:after="0"/>
              <w:rPr>
                <w:sz w:val="12"/>
                <w:szCs w:val="12"/>
                <w:color w:val="auto"/>
              </w:rPr>
            </w:pP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Telecopy: (919) 846-4359</w:t>
            </w:r>
          </w:p>
        </w:tc>
        <w:tc>
          <w:tcPr>
            <w:tcW w:w="2500" w:type="dxa"/>
            <w:vAlign w:val="bottom"/>
          </w:tcPr>
          <w:p>
            <w:pPr>
              <w:spacing w:after="0"/>
              <w:rPr>
                <w:sz w:val="12"/>
                <w:szCs w:val="12"/>
                <w:color w:val="auto"/>
              </w:rPr>
            </w:pPr>
          </w:p>
        </w:tc>
      </w:tr>
      <w:tr>
        <w:trPr>
          <w:trHeight w:val="16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Telecopy: (312) 853-7036</w:t>
            </w: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215900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9" w:lineRule="exact"/>
        <w:rPr>
          <w:sz w:val="24"/>
          <w:szCs w:val="24"/>
          <w:color w:val="auto"/>
        </w:rPr>
      </w:pPr>
    </w:p>
    <w:p>
      <w:pPr>
        <w:jc w:val="both"/>
        <w:ind w:right="20" w:firstLine="324"/>
        <w:spacing w:after="0" w:line="157"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72" w:lineRule="exact"/>
        <w:rPr>
          <w:sz w:val="24"/>
          <w:szCs w:val="24"/>
          <w:color w:val="auto"/>
        </w:rPr>
      </w:pPr>
    </w:p>
    <w:p>
      <w:pPr>
        <w:ind w:left="20"/>
        <w:spacing w:after="0" w:line="150" w:lineRule="exact"/>
        <w:tabs>
          <w:tab w:leader="none" w:pos="1560" w:val="left"/>
          <w:tab w:leader="none" w:pos="8980" w:val="left"/>
          <w:tab w:leader="none" w:pos="1092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0"/>
          <w:szCs w:val="10"/>
          <w:color w:val="auto"/>
        </w:rPr>
        <w:t>☐</w:t>
      </w:r>
    </w:p>
    <w:p>
      <w:pPr>
        <w:spacing w:after="0" w:line="396" w:lineRule="exact"/>
        <w:rPr>
          <w:sz w:val="24"/>
          <w:szCs w:val="24"/>
          <w:color w:val="auto"/>
        </w:rPr>
      </w:pPr>
    </w:p>
    <w:p>
      <w:pPr>
        <w:ind w:left="1720" w:hanging="142"/>
        <w:spacing w:after="0"/>
        <w:tabs>
          <w:tab w:leader="none" w:pos="17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(Do not check if a smaller reporting company)</w:t>
      </w:r>
    </w:p>
    <w:p>
      <w:pPr>
        <w:sectPr>
          <w:pgSz w:w="11900" w:h="16838" w:orient="portrait"/>
          <w:cols w:equalWidth="0" w:num="1">
            <w:col w:w="11240"/>
          </w:cols>
          <w:pgMar w:left="320" w:top="712" w:right="339" w:bottom="131"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97" w:lineRule="exact"/>
        <w:rPr>
          <w:sz w:val="20"/>
          <w:szCs w:val="20"/>
          <w:color w:val="auto"/>
        </w:rPr>
      </w:pPr>
      <w:r>
        <w:rPr>
          <w:rFonts w:ascii="MS PGothic" w:cs="MS PGothic" w:eastAsia="MS PGothic" w:hAnsi="MS PGothic"/>
          <w:sz w:val="10"/>
          <w:szCs w:val="10"/>
          <w:color w:val="auto"/>
        </w:rPr>
        <w:t>☐</w:t>
      </w:r>
    </w:p>
    <w:p>
      <w:pPr>
        <w:spacing w:after="0" w:line="237" w:lineRule="exact"/>
        <w:rPr>
          <w:sz w:val="24"/>
          <w:szCs w:val="24"/>
          <w:color w:val="auto"/>
        </w:rPr>
      </w:pPr>
    </w:p>
    <w:p>
      <w:pPr>
        <w:sectPr>
          <w:pgSz w:w="11900" w:h="16838" w:orient="portrait"/>
          <w:cols w:equalWidth="0" w:num="3">
            <w:col w:w="8280" w:space="720"/>
            <w:col w:w="1500" w:space="440"/>
            <w:col w:w="300"/>
          </w:cols>
          <w:pgMar w:left="320" w:top="712" w:right="339" w:bottom="131" w:gutter="0" w:footer="0" w:header="0"/>
          <w:type w:val="continuous"/>
        </w:sectPr>
      </w:pPr>
    </w:p>
    <w:p>
      <w:pPr>
        <w:spacing w:after="0" w:line="63" w:lineRule="exact"/>
        <w:rPr>
          <w:sz w:val="24"/>
          <w:szCs w:val="24"/>
          <w:color w:val="auto"/>
        </w:rPr>
      </w:pPr>
    </w:p>
    <w:p>
      <w:pPr>
        <w:ind w:left="90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2" w:lineRule="exact"/>
        <w:rPr>
          <w:sz w:val="24"/>
          <w:szCs w:val="24"/>
          <w:color w:val="auto"/>
        </w:rPr>
      </w:pPr>
    </w:p>
    <w:p>
      <w:pPr>
        <w:sectPr>
          <w:pgSz w:w="11900" w:h="16838" w:orient="portrait"/>
          <w:cols w:equalWidth="0" w:num="2">
            <w:col w:w="10480" w:space="460"/>
            <w:col w:w="300"/>
          </w:cols>
          <w:pgMar w:left="320" w:top="712" w:right="339" w:bottom="131" w:gutter="0" w:footer="0" w:header="0"/>
          <w:type w:val="continuous"/>
        </w:sectPr>
      </w:pPr>
    </w:p>
    <w:p>
      <w:pPr>
        <w:ind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139065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Proposed</w:t>
            </w:r>
          </w:p>
        </w:tc>
        <w:tc>
          <w:tcPr>
            <w:tcW w:w="1540" w:type="dxa"/>
            <w:vAlign w:val="bottom"/>
          </w:tcPr>
          <w:p>
            <w:pPr>
              <w:spacing w:after="0"/>
              <w:rPr>
                <w:sz w:val="12"/>
                <w:szCs w:val="12"/>
                <w:color w:val="auto"/>
              </w:rPr>
            </w:pPr>
          </w:p>
        </w:tc>
      </w:tr>
      <w:tr>
        <w:trPr>
          <w:trHeight w:val="149"/>
        </w:trPr>
        <w:tc>
          <w:tcPr>
            <w:tcW w:w="81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1540" w:type="dxa"/>
            <w:vAlign w:val="bottom"/>
          </w:tcPr>
          <w:p>
            <w:pPr>
              <w:spacing w:after="0"/>
              <w:rPr>
                <w:sz w:val="12"/>
                <w:szCs w:val="12"/>
                <w:color w:val="auto"/>
              </w:rPr>
            </w:pPr>
          </w:p>
        </w:tc>
      </w:tr>
      <w:tr>
        <w:trPr>
          <w:trHeight w:val="149"/>
        </w:trPr>
        <w:tc>
          <w:tcPr>
            <w:tcW w:w="812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8"/>
              </w:rPr>
              <w:t>Amount of</w:t>
            </w:r>
          </w:p>
        </w:tc>
      </w:tr>
      <w:tr>
        <w:trPr>
          <w:trHeight w:val="197"/>
        </w:trPr>
        <w:tc>
          <w:tcPr>
            <w:tcW w:w="8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6"/>
                <w:szCs w:val="16"/>
                <w:b w:val="1"/>
                <w:bCs w:val="1"/>
                <w:color w:val="auto"/>
                <w:w w:val="91"/>
                <w:vertAlign w:val="superscript"/>
              </w:rPr>
              <w:t>(1)(2)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r>
      <w:tr>
        <w:trPr>
          <w:trHeight w:val="166"/>
        </w:trPr>
        <w:tc>
          <w:tcPr>
            <w:tcW w:w="8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 par value $0.001 per share</w:t>
            </w:r>
          </w:p>
        </w:tc>
        <w:tc>
          <w:tcPr>
            <w:tcW w:w="1580" w:type="dxa"/>
            <w:vAlign w:val="bottom"/>
            <w:tcBorders>
              <w:right w:val="single" w:sz="8" w:color="auto"/>
            </w:tcBorders>
          </w:tcPr>
          <w:p>
            <w:pPr>
              <w:jc w:val="right"/>
              <w:ind w:right="14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1397"/>
              <w:spacing w:after="0"/>
              <w:rPr>
                <w:sz w:val="20"/>
                <w:szCs w:val="20"/>
                <w:color w:val="auto"/>
              </w:rPr>
            </w:pPr>
            <w:r>
              <w:rPr>
                <w:rFonts w:ascii="Arial" w:cs="Arial" w:eastAsia="Arial" w:hAnsi="Arial"/>
                <w:sz w:val="13"/>
                <w:szCs w:val="13"/>
                <w:color w:val="auto"/>
                <w:w w:val="82"/>
              </w:rPr>
              <w:t>$</w:t>
            </w:r>
          </w:p>
        </w:tc>
      </w:tr>
      <w:tr>
        <w:trPr>
          <w:trHeight w:val="29"/>
        </w:trPr>
        <w:tc>
          <w:tcPr>
            <w:tcW w:w="8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w:t>
      </w: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additional shares that the underwriters have the option to purchase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2" w:right="339" w:bottom="131"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i w:val="1"/>
          <w:iCs w:val="1"/>
          <w:color w:val="DE1A1E"/>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129" w:lineRule="exact"/>
        <w:rPr>
          <w:sz w:val="20"/>
          <w:szCs w:val="20"/>
          <w:color w:val="auto"/>
        </w:rPr>
      </w:pPr>
    </w:p>
    <w:p>
      <w:pPr>
        <w:ind w:left="3320"/>
        <w:spacing w:after="0"/>
        <w:tabs>
          <w:tab w:leader="none" w:pos="6700" w:val="left"/>
          <w:tab w:leader="none" w:pos="7360" w:val="left"/>
        </w:tabs>
        <w:rPr>
          <w:sz w:val="20"/>
          <w:szCs w:val="20"/>
          <w:color w:val="auto"/>
        </w:rPr>
      </w:pPr>
      <w:r>
        <w:rPr>
          <w:rFonts w:ascii="Arial" w:cs="Arial" w:eastAsia="Arial" w:hAnsi="Arial"/>
          <w:sz w:val="22"/>
          <w:szCs w:val="22"/>
          <w:i w:val="1"/>
          <w:iCs w:val="1"/>
          <w:color w:val="DE1A1E"/>
        </w:rPr>
        <w:t>Subject to Completion. Dated</w:t>
      </w:r>
      <w:r>
        <w:rPr>
          <w:sz w:val="20"/>
          <w:szCs w:val="20"/>
          <w:color w:val="auto"/>
        </w:rPr>
        <w:tab/>
      </w:r>
      <w:r>
        <w:rPr>
          <w:rFonts w:ascii="Arial" w:cs="Arial" w:eastAsia="Arial" w:hAnsi="Arial"/>
          <w:sz w:val="22"/>
          <w:szCs w:val="22"/>
          <w:i w:val="1"/>
          <w:iCs w:val="1"/>
          <w:color w:val="DE1A1E"/>
        </w:rPr>
        <w:t>,</w:t>
      </w:r>
      <w:r>
        <w:rPr>
          <w:sz w:val="20"/>
          <w:szCs w:val="20"/>
          <w:color w:val="auto"/>
        </w:rPr>
        <w:tab/>
      </w:r>
      <w:r>
        <w:rPr>
          <w:rFonts w:ascii="Arial" w:cs="Arial" w:eastAsia="Arial" w:hAnsi="Arial"/>
          <w:sz w:val="21"/>
          <w:szCs w:val="21"/>
          <w:i w:val="1"/>
          <w:iCs w:val="1"/>
          <w:color w:val="DE1A1E"/>
        </w:rPr>
        <w:t>2021.</w:t>
      </w:r>
    </w:p>
    <w:p>
      <w:pPr>
        <w:spacing w:after="0" w:line="150" w:lineRule="exact"/>
        <w:rPr>
          <w:sz w:val="20"/>
          <w:szCs w:val="20"/>
          <w:color w:val="auto"/>
        </w:rPr>
      </w:pPr>
    </w:p>
    <w:p>
      <w:pPr>
        <w:ind w:left="5560"/>
        <w:spacing w:after="0"/>
        <w:rPr>
          <w:sz w:val="20"/>
          <w:szCs w:val="20"/>
          <w:color w:val="auto"/>
        </w:rPr>
      </w:pPr>
      <w:r>
        <w:rPr>
          <w:rFonts w:ascii="Arial" w:cs="Arial" w:eastAsia="Arial" w:hAnsi="Arial"/>
          <w:sz w:val="32"/>
          <w:szCs w:val="32"/>
          <w:i w:val="1"/>
          <w:iCs w:val="1"/>
          <w:color w:val="auto"/>
        </w:rPr>
        <w:t>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auto"/>
        </w:rPr>
        <w:t>Genworth Mortgage Holdings,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273050</wp:posOffset>
            </wp:positionV>
            <wp:extent cx="1517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is the initial public offering of shares of our common stock. The selling stockholder named in this prospectus is offering shares of our common stock. We will not be selling any shares in this offering and will not receive any proceeds from the sale of our common stock by the selling stockholder.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this offering, there has been no public market for our common stock. We expect the initial public offering price to be between</w:t>
      </w:r>
    </w:p>
    <w:p>
      <w:pPr>
        <w:spacing w:after="0" w:line="9"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$per share. We intend to apply to list our common stock on the Nasdaq Global Select Market (“Nasdaq”) under the symbol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giving effect to this offering, Genworth Financial, Inc. (“Parent”), the parent of our direct parent and the selling stockholder in this offering, Genworth Holdings, Inc. (“GHI” or the “selling stockholder”), and our ultimate controlling entity, will continue to own, through GHI, more than a majority of the total voting power of our common stock. Accordingly, we will be a “controlled company” within the meaning of the Nasdaq rules.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w:t>
      </w:r>
    </w:p>
    <w:p>
      <w:pPr>
        <w:spacing w:after="0" w:line="126" w:lineRule="exact"/>
        <w:rPr>
          <w:sz w:val="20"/>
          <w:szCs w:val="20"/>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24">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beginning on page 20 of this prospectus.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Neither the SEC nor any state securities commission or other regulatory body has approved or disapproved of these securities or determined if this prospectus is truthful or complete. Any representation to the contrary is a criminal offense.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w:t>
            </w:r>
          </w:p>
        </w:tc>
        <w:tc>
          <w:tcPr>
            <w:tcW w:w="1560" w:type="dxa"/>
            <w:vAlign w:val="bottom"/>
          </w:tcPr>
          <w:p>
            <w:pPr>
              <w:spacing w:after="0"/>
              <w:rPr>
                <w:sz w:val="14"/>
                <w:szCs w:val="14"/>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337"/>
        </w:trPr>
        <w:tc>
          <w:tcPr>
            <w:tcW w:w="8020" w:type="dxa"/>
            <w:vAlign w:val="bottom"/>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r>
      <w:tr>
        <w:trPr>
          <w:trHeight w:val="449"/>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3"/>
                <w:szCs w:val="23"/>
                <w:color w:val="auto"/>
                <w:vertAlign w:val="superscript"/>
              </w:rPr>
              <w:t>(1)</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307"/>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99"/>
        </w:trPr>
        <w:tc>
          <w:tcPr>
            <w:tcW w:w="8020" w:type="dxa"/>
            <w:vAlign w:val="bottom"/>
          </w:tcPr>
          <w:p>
            <w:pPr>
              <w:spacing w:after="0"/>
              <w:rPr>
                <w:sz w:val="20"/>
                <w:szCs w:val="20"/>
                <w:color w:val="auto"/>
              </w:rPr>
            </w:pPr>
            <w:r>
              <w:rPr>
                <w:rFonts w:ascii="Arial" w:cs="Arial" w:eastAsia="Arial" w:hAnsi="Arial"/>
                <w:sz w:val="16"/>
                <w:szCs w:val="16"/>
                <w:color w:val="auto"/>
              </w:rPr>
              <w:t>______________</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6"/>
          <w:szCs w:val="16"/>
          <w:b w:val="1"/>
          <w:bCs w:val="1"/>
          <w:color w:val="auto"/>
        </w:rPr>
        <w:t>(1)  See “Underwriting” for a detailed description of compensation payable to the underwriters.</w:t>
      </w:r>
    </w:p>
    <w:p>
      <w:pPr>
        <w:spacing w:after="0" w:line="110"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The selling stockholder has granted the underwriters an option to purchase, within 30 days of the date of this prospectus, up to additional shares, at the public offering price, less the underwriting discount.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220" w:type="dxa"/>
            <w:vAlign w:val="bottom"/>
          </w:tcPr>
          <w:p>
            <w:pPr>
              <w:ind w:left="320"/>
              <w:spacing w:after="0"/>
              <w:rPr>
                <w:sz w:val="20"/>
                <w:szCs w:val="20"/>
                <w:color w:val="auto"/>
              </w:rPr>
            </w:pPr>
            <w:r>
              <w:rPr>
                <w:rFonts w:ascii="Arial" w:cs="Arial" w:eastAsia="Arial" w:hAnsi="Arial"/>
                <w:sz w:val="18"/>
                <w:szCs w:val="18"/>
                <w:color w:val="auto"/>
              </w:rPr>
              <w:t>The shares will be ready for delivery on or about</w:t>
            </w:r>
          </w:p>
        </w:tc>
        <w:tc>
          <w:tcPr>
            <w:tcW w:w="2580" w:type="dxa"/>
            <w:vAlign w:val="bottom"/>
            <w:gridSpan w:val="2"/>
          </w:tcPr>
          <w:p>
            <w:pPr>
              <w:jc w:val="right"/>
              <w:ind w:right="1240"/>
              <w:spacing w:after="0"/>
              <w:rPr>
                <w:sz w:val="20"/>
                <w:szCs w:val="20"/>
                <w:color w:val="auto"/>
              </w:rPr>
            </w:pPr>
            <w:r>
              <w:rPr>
                <w:rFonts w:ascii="Arial" w:cs="Arial" w:eastAsia="Arial" w:hAnsi="Arial"/>
                <w:sz w:val="18"/>
                <w:szCs w:val="18"/>
                <w:color w:val="auto"/>
              </w:rPr>
              <w:t>, 2021.</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20" w:type="dxa"/>
            <w:vAlign w:val="bottom"/>
          </w:tcPr>
          <w:p>
            <w:pPr>
              <w:spacing w:after="0"/>
              <w:rPr>
                <w:sz w:val="24"/>
                <w:szCs w:val="24"/>
                <w:color w:val="auto"/>
              </w:rPr>
            </w:pPr>
          </w:p>
        </w:tc>
        <w:tc>
          <w:tcPr>
            <w:tcW w:w="6980" w:type="dxa"/>
            <w:vAlign w:val="bottom"/>
            <w:gridSpan w:val="3"/>
          </w:tcPr>
          <w:p>
            <w:pPr>
              <w:ind w:left="8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0" w:type="dxa"/>
            <w:vAlign w:val="bottom"/>
          </w:tcPr>
          <w:p>
            <w:pPr>
              <w:spacing w:after="0"/>
              <w:rPr>
                <w:sz w:val="1"/>
                <w:szCs w:val="1"/>
                <w:color w:val="auto"/>
              </w:rPr>
            </w:pPr>
          </w:p>
        </w:tc>
      </w:tr>
      <w:tr>
        <w:trPr>
          <w:trHeight w:val="504"/>
        </w:trPr>
        <w:tc>
          <w:tcPr>
            <w:tcW w:w="4220" w:type="dxa"/>
            <w:vAlign w:val="bottom"/>
          </w:tcPr>
          <w:p>
            <w:pPr>
              <w:spacing w:after="0"/>
              <w:rPr>
                <w:sz w:val="20"/>
                <w:szCs w:val="20"/>
                <w:color w:val="auto"/>
              </w:rPr>
            </w:pPr>
            <w:r>
              <w:rPr>
                <w:rFonts w:ascii="Arial" w:cs="Arial" w:eastAsia="Arial" w:hAnsi="Arial"/>
                <w:sz w:val="29"/>
                <w:szCs w:val="29"/>
                <w:b w:val="1"/>
                <w:bCs w:val="1"/>
                <w:color w:val="auto"/>
              </w:rPr>
              <w:t>Goldman, Sachs &amp; Co. LLC</w:t>
            </w: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0" w:type="dxa"/>
            <w:vAlign w:val="bottom"/>
            <w:vMerge w:val="restart"/>
          </w:tcPr>
          <w:p>
            <w:pPr>
              <w:ind w:left="2800"/>
              <w:spacing w:after="0"/>
              <w:rPr>
                <w:sz w:val="20"/>
                <w:szCs w:val="20"/>
                <w:color w:val="auto"/>
              </w:rPr>
            </w:pPr>
            <w:r>
              <w:rPr>
                <w:rFonts w:ascii="Arial" w:cs="Arial" w:eastAsia="Arial" w:hAnsi="Arial"/>
                <w:sz w:val="29"/>
                <w:szCs w:val="29"/>
                <w:b w:val="1"/>
                <w:bCs w:val="1"/>
                <w:color w:val="auto"/>
                <w:w w:val="96"/>
              </w:rPr>
              <w:t>J.P. Morgan</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322580</wp:posOffset>
            </wp:positionV>
            <wp:extent cx="1517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3640"/>
        <w:spacing w:after="0"/>
        <w:tabs>
          <w:tab w:leader="none" w:pos="702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 2021.</w:t>
      </w:r>
    </w:p>
    <w:p>
      <w:pPr>
        <w:sectPr>
          <w:pgSz w:w="11900" w:h="16838" w:orient="portrait"/>
          <w:cols w:equalWidth="0" w:num="1">
            <w:col w:w="11240"/>
          </w:cols>
          <w:pgMar w:left="320" w:top="769" w:right="339" w:bottom="1440" w:gutter="0" w:footer="0" w:header="0"/>
          <w:type w:val="continuous"/>
        </w:sectPr>
      </w:pPr>
    </w:p>
    <w:bookmarkStart w:id="3" w:name="page4"/>
    <w:bookmarkEnd w:id="3"/>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2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169"/>
        </w:trPr>
        <w:tc>
          <w:tcPr>
            <w:tcW w:w="2980" w:type="dxa"/>
            <w:vAlign w:val="bottom"/>
            <w:gridSpan w:val="11"/>
          </w:tcPr>
          <w:p>
            <w:pPr>
              <w:spacing w:after="0" w:line="149" w:lineRule="exact"/>
              <w:rPr>
                <w:rFonts w:ascii="Arial" w:cs="Arial" w:eastAsia="Arial" w:hAnsi="Arial"/>
                <w:sz w:val="17"/>
                <w:szCs w:val="17"/>
                <w:color w:val="0000FF"/>
              </w:rPr>
            </w:pPr>
            <w:hyperlink w:anchor="page5">
              <w:r>
                <w:rPr>
                  <w:rFonts w:ascii="Arial" w:cs="Arial" w:eastAsia="Arial" w:hAnsi="Arial"/>
                  <w:sz w:val="17"/>
                  <w:szCs w:val="17"/>
                  <w:color w:val="0000FF"/>
                </w:rPr>
                <w:t>INDUSTRY AND MARKET DATA</w:t>
              </w:r>
            </w:hyperlink>
          </w:p>
        </w:tc>
        <w:tc>
          <w:tcPr>
            <w:tcW w:w="7180" w:type="dxa"/>
            <w:vAlign w:val="bottom"/>
            <w:gridSpan w:val="13"/>
          </w:tcPr>
          <w:p>
            <w:pPr>
              <w:spacing w:after="0"/>
              <w:rPr>
                <w:sz w:val="14"/>
                <w:szCs w:val="14"/>
                <w:color w:val="auto"/>
              </w:rPr>
            </w:pPr>
          </w:p>
        </w:tc>
        <w:tc>
          <w:tcPr>
            <w:tcW w:w="620" w:type="dxa"/>
            <w:vAlign w:val="bottom"/>
            <w:gridSpan w:val="3"/>
          </w:tcPr>
          <w:p>
            <w:pPr>
              <w:jc w:val="center"/>
              <w:ind w:left="350"/>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1</w:t>
              </w:r>
            </w:hyperlink>
          </w:p>
        </w:tc>
        <w:tc>
          <w:tcPr>
            <w:tcW w:w="440" w:type="dxa"/>
            <w:vAlign w:val="bottom"/>
          </w:tcPr>
          <w:p>
            <w:pPr>
              <w:spacing w:after="0"/>
              <w:rPr>
                <w:sz w:val="14"/>
                <w:szCs w:val="14"/>
                <w:color w:val="auto"/>
              </w:rPr>
            </w:pPr>
          </w:p>
        </w:tc>
      </w:tr>
      <w:tr>
        <w:trPr>
          <w:trHeight w:val="27"/>
        </w:trPr>
        <w:tc>
          <w:tcPr>
            <w:tcW w:w="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4760" w:type="dxa"/>
            <w:vAlign w:val="bottom"/>
            <w:gridSpan w:val="17"/>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BASIS OF PRESENTATION AND NON-GAAP MEASURES</w:t>
              </w:r>
            </w:hyperlink>
          </w:p>
        </w:tc>
        <w:tc>
          <w:tcPr>
            <w:tcW w:w="5400" w:type="dxa"/>
            <w:vAlign w:val="bottom"/>
            <w:gridSpan w:val="7"/>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2</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980" w:type="dxa"/>
            <w:vAlign w:val="bottom"/>
            <w:gridSpan w:val="11"/>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TRADEMARKS AND TRADE NAMES</w:t>
              </w:r>
            </w:hyperlink>
          </w:p>
        </w:tc>
        <w:tc>
          <w:tcPr>
            <w:tcW w:w="1780" w:type="dxa"/>
            <w:vAlign w:val="bottom"/>
            <w:gridSpan w:val="6"/>
          </w:tcPr>
          <w:p>
            <w:pPr>
              <w:spacing w:after="0"/>
              <w:rPr>
                <w:sz w:val="18"/>
                <w:szCs w:val="18"/>
                <w:color w:val="auto"/>
              </w:rPr>
            </w:pPr>
          </w:p>
        </w:tc>
        <w:tc>
          <w:tcPr>
            <w:tcW w:w="5400" w:type="dxa"/>
            <w:vAlign w:val="bottom"/>
            <w:gridSpan w:val="7"/>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3</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220" w:type="dxa"/>
            <w:vAlign w:val="bottom"/>
            <w:gridSpan w:val="9"/>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PROSPECTUS SUMMARY</w:t>
              </w:r>
            </w:hyperlink>
          </w:p>
        </w:tc>
        <w:tc>
          <w:tcPr>
            <w:tcW w:w="760" w:type="dxa"/>
            <w:vAlign w:val="bottom"/>
            <w:gridSpan w:val="2"/>
          </w:tcPr>
          <w:p>
            <w:pPr>
              <w:spacing w:after="0"/>
              <w:rPr>
                <w:sz w:val="18"/>
                <w:szCs w:val="18"/>
                <w:color w:val="auto"/>
              </w:rPr>
            </w:pPr>
          </w:p>
        </w:tc>
        <w:tc>
          <w:tcPr>
            <w:tcW w:w="7180" w:type="dxa"/>
            <w:vAlign w:val="bottom"/>
            <w:gridSpan w:val="13"/>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4</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220" w:type="dxa"/>
            <w:vAlign w:val="bottom"/>
            <w:gridSpan w:val="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7940" w:type="dxa"/>
            <w:vAlign w:val="bottom"/>
            <w:gridSpan w:val="15"/>
          </w:tcPr>
          <w:p>
            <w:pPr>
              <w:spacing w:after="0"/>
              <w:rPr>
                <w:sz w:val="18"/>
                <w:szCs w:val="18"/>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20</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7680" w:type="dxa"/>
            <w:vAlign w:val="bottom"/>
            <w:tcBorders>
              <w:bottom w:val="single" w:sz="8" w:color="0000FF"/>
            </w:tcBorders>
            <w:gridSpan w:val="21"/>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CAUTIONARY NOTE REGARDING FORWARD-LOOKING STATEMENTS AND MARKET DATA</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71</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740" w:type="dxa"/>
            <w:vAlign w:val="bottom"/>
            <w:gridSpan w:val="8"/>
          </w:tcPr>
          <w:p>
            <w:pPr>
              <w:spacing w:after="0" w:line="196" w:lineRule="exact"/>
              <w:rPr>
                <w:rFonts w:ascii="Arial" w:cs="Arial" w:eastAsia="Arial" w:hAnsi="Arial"/>
                <w:sz w:val="18"/>
                <w:szCs w:val="18"/>
                <w:color w:val="0000FF"/>
                <w:w w:val="99"/>
              </w:rPr>
            </w:pPr>
            <w:hyperlink w:anchor="page78">
              <w:r>
                <w:rPr>
                  <w:rFonts w:ascii="Arial" w:cs="Arial" w:eastAsia="Arial" w:hAnsi="Arial"/>
                  <w:sz w:val="18"/>
                  <w:szCs w:val="18"/>
                  <w:color w:val="0000FF"/>
                  <w:w w:val="99"/>
                </w:rPr>
                <w:t>USE OF PROCEEDS</w:t>
              </w:r>
            </w:hyperlink>
          </w:p>
        </w:tc>
        <w:tc>
          <w:tcPr>
            <w:tcW w:w="842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8">
              <w:r>
                <w:rPr>
                  <w:rFonts w:ascii="Arial" w:cs="Arial" w:eastAsia="Arial" w:hAnsi="Arial"/>
                  <w:sz w:val="17"/>
                  <w:szCs w:val="17"/>
                  <w:color w:val="0000FF"/>
                  <w:w w:val="73"/>
                </w:rPr>
                <w:t>74</w:t>
              </w:r>
            </w:hyperlink>
          </w:p>
        </w:tc>
        <w:tc>
          <w:tcPr>
            <w:tcW w:w="440" w:type="dxa"/>
            <w:vAlign w:val="bottom"/>
          </w:tcPr>
          <w:p>
            <w:pPr>
              <w:spacing w:after="0"/>
              <w:rPr>
                <w:sz w:val="17"/>
                <w:szCs w:val="17"/>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gridSpan w:val="7"/>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DIVIDEND POLICY</w:t>
              </w:r>
            </w:hyperlink>
          </w:p>
        </w:tc>
        <w:tc>
          <w:tcPr>
            <w:tcW w:w="160" w:type="dxa"/>
            <w:vAlign w:val="bottom"/>
          </w:tcPr>
          <w:p>
            <w:pPr>
              <w:spacing w:after="0"/>
              <w:rPr>
                <w:sz w:val="18"/>
                <w:szCs w:val="18"/>
                <w:color w:val="auto"/>
              </w:rPr>
            </w:pPr>
          </w:p>
        </w:tc>
        <w:tc>
          <w:tcPr>
            <w:tcW w:w="8420" w:type="dxa"/>
            <w:vAlign w:val="bottom"/>
            <w:gridSpan w:val="16"/>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9">
              <w:r>
                <w:rPr>
                  <w:rFonts w:ascii="Arial" w:cs="Arial" w:eastAsia="Arial" w:hAnsi="Arial"/>
                  <w:sz w:val="17"/>
                  <w:szCs w:val="17"/>
                  <w:color w:val="0000FF"/>
                  <w:w w:val="73"/>
                </w:rPr>
                <w:t>75</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420" w:type="dxa"/>
            <w:vAlign w:val="bottom"/>
            <w:gridSpan w:val="5"/>
          </w:tcPr>
          <w:p>
            <w:pPr>
              <w:spacing w:after="0"/>
              <w:rPr>
                <w:rFonts w:ascii="Arial" w:cs="Arial" w:eastAsia="Arial" w:hAnsi="Arial"/>
                <w:sz w:val="18"/>
                <w:szCs w:val="18"/>
                <w:color w:val="0000FF"/>
                <w:w w:val="94"/>
              </w:rPr>
            </w:pPr>
            <w:hyperlink w:anchor="page80">
              <w:r>
                <w:rPr>
                  <w:rFonts w:ascii="Arial" w:cs="Arial" w:eastAsia="Arial" w:hAnsi="Arial"/>
                  <w:sz w:val="18"/>
                  <w:szCs w:val="18"/>
                  <w:color w:val="0000FF"/>
                  <w:w w:val="94"/>
                </w:rPr>
                <w:t>CAPITALIZATION</w:t>
              </w:r>
            </w:hyperlink>
          </w:p>
        </w:tc>
        <w:tc>
          <w:tcPr>
            <w:tcW w:w="160" w:type="dxa"/>
            <w:vAlign w:val="bottom"/>
            <w:gridSpan w:val="2"/>
          </w:tcPr>
          <w:p>
            <w:pPr>
              <w:spacing w:after="0"/>
              <w:rPr>
                <w:sz w:val="18"/>
                <w:szCs w:val="18"/>
                <w:color w:val="auto"/>
              </w:rPr>
            </w:pPr>
          </w:p>
        </w:tc>
        <w:tc>
          <w:tcPr>
            <w:tcW w:w="858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80">
              <w:r>
                <w:rPr>
                  <w:rFonts w:ascii="Arial" w:cs="Arial" w:eastAsia="Arial" w:hAnsi="Arial"/>
                  <w:sz w:val="17"/>
                  <w:szCs w:val="17"/>
                  <w:color w:val="0000FF"/>
                  <w:w w:val="73"/>
                </w:rPr>
                <w:t>76</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5040" w:type="dxa"/>
            <w:vAlign w:val="bottom"/>
            <w:gridSpan w:val="18"/>
          </w:tcPr>
          <w:p>
            <w:pPr>
              <w:spacing w:after="0"/>
              <w:rPr>
                <w:rFonts w:ascii="Arial" w:cs="Arial" w:eastAsia="Arial" w:hAnsi="Arial"/>
                <w:sz w:val="18"/>
                <w:szCs w:val="18"/>
                <w:color w:val="0000FF"/>
                <w:w w:val="98"/>
              </w:rPr>
            </w:pPr>
            <w:hyperlink w:anchor="page81">
              <w:r>
                <w:rPr>
                  <w:rFonts w:ascii="Arial" w:cs="Arial" w:eastAsia="Arial" w:hAnsi="Arial"/>
                  <w:sz w:val="18"/>
                  <w:szCs w:val="18"/>
                  <w:color w:val="0000FF"/>
                  <w:w w:val="98"/>
                </w:rPr>
                <w:t>SELECTED HISTORICAL CONSOLIDATED FINANCIAL DATA</w:t>
              </w:r>
            </w:hyperlink>
          </w:p>
        </w:tc>
        <w:tc>
          <w:tcPr>
            <w:tcW w:w="512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77</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14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9"/>
                <w:szCs w:val="19"/>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83">
              <w:r>
                <w:rPr>
                  <w:rFonts w:ascii="Arial" w:cs="Arial" w:eastAsia="Arial" w:hAnsi="Arial"/>
                  <w:sz w:val="18"/>
                  <w:szCs w:val="18"/>
                  <w:color w:val="0000FF"/>
                  <w:w w:val="99"/>
                </w:rPr>
                <w:t>79</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920" w:type="dxa"/>
            <w:vAlign w:val="bottom"/>
            <w:gridSpan w:val="2"/>
          </w:tcPr>
          <w:p>
            <w:pPr>
              <w:spacing w:after="0" w:line="196" w:lineRule="exact"/>
              <w:rPr>
                <w:rFonts w:ascii="Arial" w:cs="Arial" w:eastAsia="Arial" w:hAnsi="Arial"/>
                <w:sz w:val="18"/>
                <w:szCs w:val="18"/>
                <w:color w:val="0000FF"/>
                <w:w w:val="98"/>
              </w:rPr>
            </w:pPr>
            <w:hyperlink w:anchor="page118">
              <w:r>
                <w:rPr>
                  <w:rFonts w:ascii="Arial" w:cs="Arial" w:eastAsia="Arial" w:hAnsi="Arial"/>
                  <w:sz w:val="18"/>
                  <w:szCs w:val="18"/>
                  <w:color w:val="0000FF"/>
                  <w:w w:val="98"/>
                </w:rPr>
                <w:t>BUSINESS</w:t>
              </w:r>
            </w:hyperlink>
          </w:p>
        </w:tc>
        <w:tc>
          <w:tcPr>
            <w:tcW w:w="9240" w:type="dxa"/>
            <w:vAlign w:val="bottom"/>
            <w:gridSpan w:val="22"/>
          </w:tcPr>
          <w:p>
            <w:pPr>
              <w:spacing w:after="0"/>
              <w:rPr>
                <w:sz w:val="17"/>
                <w:szCs w:val="17"/>
                <w:color w:val="auto"/>
              </w:rPr>
            </w:pPr>
          </w:p>
        </w:tc>
        <w:tc>
          <w:tcPr>
            <w:tcW w:w="1060" w:type="dxa"/>
            <w:vAlign w:val="bottom"/>
            <w:gridSpan w:val="4"/>
          </w:tcPr>
          <w:p>
            <w:pPr>
              <w:jc w:val="center"/>
              <w:spacing w:after="0" w:line="196" w:lineRule="exact"/>
              <w:rPr>
                <w:rFonts w:ascii="Arial" w:cs="Arial" w:eastAsia="Arial" w:hAnsi="Arial"/>
                <w:sz w:val="18"/>
                <w:szCs w:val="18"/>
                <w:color w:val="0000FF"/>
                <w:w w:val="99"/>
              </w:rPr>
            </w:pPr>
            <w:hyperlink w:anchor="page118">
              <w:r>
                <w:rPr>
                  <w:rFonts w:ascii="Arial" w:cs="Arial" w:eastAsia="Arial" w:hAnsi="Arial"/>
                  <w:sz w:val="18"/>
                  <w:szCs w:val="18"/>
                  <w:color w:val="0000FF"/>
                  <w:w w:val="99"/>
                </w:rPr>
                <w:t>114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4"/>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REGULATION</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43">
              <w:r>
                <w:rPr>
                  <w:rFonts w:ascii="Arial" w:cs="Arial" w:eastAsia="Arial" w:hAnsi="Arial"/>
                  <w:sz w:val="18"/>
                  <w:szCs w:val="18"/>
                  <w:color w:val="0000FF"/>
                  <w:w w:val="99"/>
                </w:rPr>
                <w:t>139</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300" w:type="dxa"/>
            <w:vAlign w:val="bottom"/>
            <w:gridSpan w:val="4"/>
          </w:tcPr>
          <w:p>
            <w:pPr>
              <w:spacing w:after="0"/>
              <w:rPr>
                <w:rFonts w:ascii="Arial" w:cs="Arial" w:eastAsia="Arial" w:hAnsi="Arial"/>
                <w:sz w:val="18"/>
                <w:szCs w:val="18"/>
                <w:color w:val="0000FF"/>
                <w:w w:val="97"/>
              </w:rPr>
            </w:pPr>
            <w:hyperlink w:anchor="page159">
              <w:r>
                <w:rPr>
                  <w:rFonts w:ascii="Arial" w:cs="Arial" w:eastAsia="Arial" w:hAnsi="Arial"/>
                  <w:sz w:val="18"/>
                  <w:szCs w:val="18"/>
                  <w:color w:val="0000FF"/>
                  <w:w w:val="97"/>
                </w:rPr>
                <w:t>MANAGEMENT</w:t>
              </w:r>
            </w:hyperlink>
          </w:p>
        </w:tc>
        <w:tc>
          <w:tcPr>
            <w:tcW w:w="8860" w:type="dxa"/>
            <w:vAlign w:val="bottom"/>
            <w:gridSpan w:val="20"/>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59">
              <w:r>
                <w:rPr>
                  <w:rFonts w:ascii="Arial" w:cs="Arial" w:eastAsia="Arial" w:hAnsi="Arial"/>
                  <w:sz w:val="18"/>
                  <w:szCs w:val="18"/>
                  <w:color w:val="0000FF"/>
                  <w:w w:val="99"/>
                </w:rPr>
                <w:t>155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5320" w:type="dxa"/>
            <w:vAlign w:val="bottom"/>
            <w:gridSpan w:val="19"/>
          </w:tcPr>
          <w:p>
            <w:pPr>
              <w:spacing w:after="0"/>
              <w:rPr>
                <w:rFonts w:ascii="Arial" w:cs="Arial" w:eastAsia="Arial" w:hAnsi="Arial"/>
                <w:sz w:val="18"/>
                <w:szCs w:val="18"/>
                <w:color w:val="0000FF"/>
                <w:w w:val="99"/>
              </w:rPr>
            </w:pPr>
            <w:hyperlink w:anchor="page165">
              <w:r>
                <w:rPr>
                  <w:rFonts w:ascii="Arial" w:cs="Arial" w:eastAsia="Arial" w:hAnsi="Arial"/>
                  <w:sz w:val="18"/>
                  <w:szCs w:val="18"/>
                  <w:color w:val="0000FF"/>
                  <w:w w:val="99"/>
                </w:rPr>
                <w:t>COMPENSATION OF EXECUTIVE OFFICERS AND DIRECTORS</w:t>
              </w:r>
            </w:hyperlink>
          </w:p>
        </w:tc>
        <w:tc>
          <w:tcPr>
            <w:tcW w:w="4840" w:type="dxa"/>
            <w:vAlign w:val="bottom"/>
            <w:gridSpan w:val="5"/>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65">
              <w:r>
                <w:rPr>
                  <w:rFonts w:ascii="Arial" w:cs="Arial" w:eastAsia="Arial" w:hAnsi="Arial"/>
                  <w:sz w:val="18"/>
                  <w:szCs w:val="18"/>
                  <w:color w:val="0000FF"/>
                  <w:w w:val="99"/>
                </w:rPr>
                <w:t>161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4"/>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CERTAIN RELATIONSHIPS AND RELATED PARTY TRANSACTIONS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74">
              <w:r>
                <w:rPr>
                  <w:rFonts w:ascii="Arial" w:cs="Arial" w:eastAsia="Arial" w:hAnsi="Arial"/>
                  <w:sz w:val="18"/>
                  <w:szCs w:val="18"/>
                  <w:color w:val="0000FF"/>
                  <w:w w:val="99"/>
                </w:rPr>
                <w:t>170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3600" w:type="dxa"/>
            <w:vAlign w:val="bottom"/>
            <w:gridSpan w:val="13"/>
          </w:tcPr>
          <w:p>
            <w:pP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PRINCIPAL AND SELLING STOCKHOLDER</w:t>
              </w:r>
            </w:hyperlink>
          </w:p>
        </w:tc>
        <w:tc>
          <w:tcPr>
            <w:tcW w:w="2040" w:type="dxa"/>
            <w:vAlign w:val="bottom"/>
            <w:gridSpan w:val="7"/>
          </w:tcPr>
          <w:p>
            <w:pPr>
              <w:spacing w:after="0"/>
              <w:rPr>
                <w:sz w:val="18"/>
                <w:szCs w:val="18"/>
                <w:color w:val="auto"/>
              </w:rPr>
            </w:pPr>
          </w:p>
        </w:tc>
        <w:tc>
          <w:tcPr>
            <w:tcW w:w="4520" w:type="dxa"/>
            <w:vAlign w:val="bottom"/>
            <w:gridSpan w:val="4"/>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176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3600" w:type="dxa"/>
            <w:vAlign w:val="bottom"/>
            <w:gridSpan w:val="13"/>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DESCRIPTION OF CAPITAL STOCK</w:t>
              </w:r>
            </w:hyperlink>
          </w:p>
        </w:tc>
        <w:tc>
          <w:tcPr>
            <w:tcW w:w="6560" w:type="dxa"/>
            <w:vAlign w:val="bottom"/>
            <w:gridSpan w:val="11"/>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177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3320" w:type="dxa"/>
            <w:vAlign w:val="bottom"/>
            <w:gridSpan w:val="12"/>
          </w:tcPr>
          <w:p>
            <w:pP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SHARES ELIGIBLE FOR FUTURE SALE</w:t>
              </w:r>
            </w:hyperlink>
          </w:p>
        </w:tc>
        <w:tc>
          <w:tcPr>
            <w:tcW w:w="6840" w:type="dxa"/>
            <w:vAlign w:val="bottom"/>
            <w:gridSpan w:val="12"/>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180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4"/>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DESCRIPTION OF CERTAIN INDEBTEDNESS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86">
              <w:r>
                <w:rPr>
                  <w:rFonts w:ascii="Arial" w:cs="Arial" w:eastAsia="Arial" w:hAnsi="Arial"/>
                  <w:sz w:val="18"/>
                  <w:szCs w:val="18"/>
                  <w:color w:val="0000FF"/>
                  <w:w w:val="99"/>
                </w:rPr>
                <w:t>182</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23"/>
        </w:trPr>
        <w:tc>
          <w:tcPr>
            <w:tcW w:w="9040" w:type="dxa"/>
            <w:vAlign w:val="bottom"/>
            <w:tcBorders>
              <w:bottom w:val="single" w:sz="8" w:color="0000FF"/>
            </w:tcBorders>
            <w:gridSpan w:val="22"/>
          </w:tcPr>
          <w:p>
            <w:pPr>
              <w:spacing w:after="0"/>
              <w:rPr>
                <w:rFonts w:ascii="Arial" w:cs="Arial" w:eastAsia="Arial" w:hAnsi="Arial"/>
                <w:sz w:val="18"/>
                <w:szCs w:val="18"/>
                <w:color w:val="0000FF"/>
                <w:w w:val="99"/>
              </w:rPr>
            </w:pPr>
            <w:hyperlink w:anchor="page187">
              <w:r>
                <w:rPr>
                  <w:rFonts w:ascii="Arial" w:cs="Arial" w:eastAsia="Arial" w:hAnsi="Arial"/>
                  <w:sz w:val="18"/>
                  <w:szCs w:val="18"/>
                  <w:color w:val="0000FF"/>
                  <w:w w:val="99"/>
                </w:rPr>
                <w:t>MATERIAL U.S. FEDERAL INCOME TAX CONSIDERATIONS FOR NON-U.S. HOLDERS OF COMMON STOCK</w:t>
              </w:r>
            </w:hyperlink>
          </w:p>
        </w:tc>
        <w:tc>
          <w:tcPr>
            <w:tcW w:w="1120" w:type="dxa"/>
            <w:vAlign w:val="bottom"/>
            <w:gridSpan w:val="2"/>
          </w:tcPr>
          <w:p>
            <w:pPr>
              <w:spacing w:after="0"/>
              <w:rPr>
                <w:sz w:val="19"/>
                <w:szCs w:val="19"/>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7">
              <w:r>
                <w:rPr>
                  <w:rFonts w:ascii="Arial" w:cs="Arial" w:eastAsia="Arial" w:hAnsi="Arial"/>
                  <w:sz w:val="18"/>
                  <w:szCs w:val="18"/>
                  <w:color w:val="0000FF"/>
                  <w:w w:val="99"/>
                </w:rPr>
                <w:t>183</w:t>
              </w:r>
            </w:hyperlink>
          </w:p>
        </w:tc>
      </w:tr>
      <w:tr>
        <w:trPr>
          <w:trHeight w:val="20"/>
        </w:trPr>
        <w:tc>
          <w:tcPr>
            <w:tcW w:w="8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0160" w:type="dxa"/>
            <w:vAlign w:val="bottom"/>
            <w:gridSpan w:val="24"/>
          </w:tcPr>
          <w:p>
            <w:pPr>
              <w:spacing w:after="0" w:line="196" w:lineRule="exact"/>
              <w:rPr>
                <w:rFonts w:ascii="Arial" w:cs="Arial" w:eastAsia="Arial" w:hAnsi="Arial"/>
                <w:sz w:val="18"/>
                <w:szCs w:val="18"/>
                <w:color w:val="0000FF"/>
              </w:rPr>
            </w:pPr>
            <w:hyperlink w:anchor="page191">
              <w:r>
                <w:rPr>
                  <w:rFonts w:ascii="Arial" w:cs="Arial" w:eastAsia="Arial" w:hAnsi="Arial"/>
                  <w:sz w:val="18"/>
                  <w:szCs w:val="18"/>
                  <w:color w:val="0000FF"/>
                </w:rPr>
                <w:t>UNDERWRITING</w:t>
              </w:r>
            </w:hyperlink>
          </w:p>
        </w:tc>
        <w:tc>
          <w:tcPr>
            <w:tcW w:w="1060" w:type="dxa"/>
            <w:vAlign w:val="bottom"/>
            <w:gridSpan w:val="4"/>
          </w:tcPr>
          <w:p>
            <w:pPr>
              <w:jc w:val="center"/>
              <w:spacing w:after="0" w:line="196" w:lineRule="exact"/>
              <w:rPr>
                <w:rFonts w:ascii="Arial" w:cs="Arial" w:eastAsia="Arial" w:hAnsi="Arial"/>
                <w:sz w:val="18"/>
                <w:szCs w:val="18"/>
                <w:color w:val="0000FF"/>
                <w:w w:val="99"/>
              </w:rPr>
            </w:pPr>
            <w:hyperlink w:anchor="page191">
              <w:r>
                <w:rPr>
                  <w:rFonts w:ascii="Arial" w:cs="Arial" w:eastAsia="Arial" w:hAnsi="Arial"/>
                  <w:sz w:val="18"/>
                  <w:szCs w:val="18"/>
                  <w:color w:val="0000FF"/>
                  <w:w w:val="99"/>
                </w:rPr>
                <w:t>187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4"/>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LEGAL MATTERS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98">
              <w:r>
                <w:rPr>
                  <w:rFonts w:ascii="Arial" w:cs="Arial" w:eastAsia="Arial" w:hAnsi="Arial"/>
                  <w:sz w:val="18"/>
                  <w:szCs w:val="18"/>
                  <w:color w:val="0000FF"/>
                  <w:w w:val="99"/>
                </w:rPr>
                <w:t>194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480" w:type="dxa"/>
            <w:vAlign w:val="bottom"/>
            <w:gridSpan w:val="6"/>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EXPERTS</w:t>
              </w:r>
            </w:hyperlink>
          </w:p>
        </w:tc>
        <w:tc>
          <w:tcPr>
            <w:tcW w:w="8680" w:type="dxa"/>
            <w:vAlign w:val="bottom"/>
            <w:gridSpan w:val="18"/>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99">
              <w:r>
                <w:rPr>
                  <w:rFonts w:ascii="Arial" w:cs="Arial" w:eastAsia="Arial" w:hAnsi="Arial"/>
                  <w:sz w:val="18"/>
                  <w:szCs w:val="18"/>
                  <w:color w:val="0000FF"/>
                  <w:w w:val="99"/>
                </w:rPr>
                <w:t>194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4"/>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WHERE YOU CAN FIND MORE INFORMATION</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99">
              <w:r>
                <w:rPr>
                  <w:rFonts w:ascii="Arial" w:cs="Arial" w:eastAsia="Arial" w:hAnsi="Arial"/>
                  <w:sz w:val="18"/>
                  <w:szCs w:val="18"/>
                  <w:color w:val="0000FF"/>
                  <w:w w:val="99"/>
                </w:rPr>
                <w:t>194</w:t>
              </w:r>
            </w:hyperlink>
          </w:p>
        </w:tc>
      </w:tr>
      <w:tr>
        <w:trPr>
          <w:trHeight w:val="20"/>
        </w:trPr>
        <w:tc>
          <w:tcPr>
            <w:tcW w:w="3900" w:type="dxa"/>
            <w:vAlign w:val="bottom"/>
            <w:gridSpan w:val="1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4540" w:type="dxa"/>
            <w:vAlign w:val="bottom"/>
            <w:gridSpan w:val="16"/>
          </w:tcPr>
          <w:p>
            <w:pPr>
              <w:spacing w:after="0"/>
              <w:rPr>
                <w:rFonts w:ascii="Arial" w:cs="Arial" w:eastAsia="Arial" w:hAnsi="Arial"/>
                <w:sz w:val="18"/>
                <w:szCs w:val="18"/>
                <w:color w:val="0000FF"/>
                <w:w w:val="98"/>
              </w:rPr>
            </w:pPr>
            <w:hyperlink w:anchor="page199">
              <w:r>
                <w:rPr>
                  <w:rFonts w:ascii="Arial" w:cs="Arial" w:eastAsia="Arial" w:hAnsi="Arial"/>
                  <w:sz w:val="18"/>
                  <w:szCs w:val="18"/>
                  <w:color w:val="0000FF"/>
                  <w:w w:val="98"/>
                </w:rPr>
                <w:t>INDEX TO CONSOLIDATED FINANCIAL STATEMENTS</w:t>
              </w:r>
            </w:hyperlink>
          </w:p>
        </w:tc>
        <w:tc>
          <w:tcPr>
            <w:tcW w:w="56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3"/>
          </w:tcPr>
          <w:p>
            <w:pPr>
              <w:jc w:val="center"/>
              <w:ind w:right="400"/>
              <w:spacing w:after="0"/>
              <w:rPr>
                <w:rFonts w:ascii="Arial" w:cs="Arial" w:eastAsia="Arial" w:hAnsi="Arial"/>
                <w:sz w:val="17"/>
                <w:szCs w:val="17"/>
                <w:color w:val="0000FF"/>
                <w:w w:val="70"/>
              </w:rPr>
            </w:pPr>
            <w:hyperlink w:anchor="page199">
              <w:r>
                <w:rPr>
                  <w:rFonts w:ascii="Arial" w:cs="Arial" w:eastAsia="Arial" w:hAnsi="Arial"/>
                  <w:sz w:val="17"/>
                  <w:szCs w:val="17"/>
                  <w:color w:val="0000FF"/>
                  <w:w w:val="70"/>
                </w:rPr>
                <w:t>F-1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None of we, the selling stockholder 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investors outside the United States: None of we, the selling stockholder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Unless otherwise indicated, all references in this prospectus to the number and percentages of common stock:</w:t>
      </w:r>
    </w:p>
    <w:p>
      <w:pPr>
        <w:spacing w:after="0" w:line="171" w:lineRule="exact"/>
        <w:rPr>
          <w:sz w:val="20"/>
          <w:szCs w:val="20"/>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 the initial public offering price of $per share, which is the midpoint of the price range set forth on the cover of this prospectus;</w:t>
      </w:r>
    </w:p>
    <w:p>
      <w:pPr>
        <w:spacing w:after="0" w:line="377"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recapitalization and exchange of our existing common stock, par value $0.01, whereby the selling stockholder will exchange the 100 shares of common stock owned by it, representing all of our issued and outstanding capital stock, in exchange for shares of a new class of common stock, par value $0.001 (the “Share Exchange”), which our board of directors intends to approve and which will be effected prior to the effectiveness of the registration statement of which this prospectus forms a part; and</w:t>
      </w:r>
    </w:p>
    <w:p>
      <w:pPr>
        <w:sectPr>
          <w:pgSz w:w="11900" w:h="16838" w:orient="portrait"/>
          <w:cols w:equalWidth="0" w:num="1">
            <w:col w:w="10908"/>
          </w:cols>
          <w:pgMar w:left="652" w:top="1440" w:right="339" w:bottom="1440" w:gutter="0" w:footer="0" w:header="0"/>
        </w:sectPr>
      </w:pPr>
    </w:p>
    <w:p>
      <w:pPr>
        <w:spacing w:after="0" w:line="150"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460" w:hanging="4"/>
        <w:spacing w:after="0" w:line="261" w:lineRule="auto"/>
        <w:rPr>
          <w:sz w:val="20"/>
          <w:szCs w:val="20"/>
          <w:color w:val="auto"/>
        </w:rPr>
      </w:pPr>
      <w:r>
        <w:rPr>
          <w:rFonts w:ascii="Arial" w:cs="Arial" w:eastAsia="Arial" w:hAnsi="Arial"/>
          <w:sz w:val="18"/>
          <w:szCs w:val="18"/>
          <w:color w:val="auto"/>
        </w:rPr>
        <w:t>assume no exercise of the underwriters’ option to purchase up to allotments.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common stock to cover over-</w:t>
      </w:r>
    </w:p>
    <w:p>
      <w:pPr>
        <w:spacing w:after="0" w:line="443" w:lineRule="exact"/>
        <w:rPr>
          <w:sz w:val="20"/>
          <w:szCs w:val="20"/>
          <w:color w:val="auto"/>
        </w:rPr>
      </w:pPr>
    </w:p>
    <w:p>
      <w:pPr>
        <w:sectPr>
          <w:pgSz w:w="11900" w:h="16838" w:orient="portrait"/>
          <w:cols w:equalWidth="0" w:num="3">
            <w:col w:w="68" w:space="260"/>
            <w:col w:w="5800" w:space="720"/>
            <w:col w:w="4060"/>
          </w:cols>
          <w:pgMar w:left="652"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08"/>
          </w:cols>
          <w:pgMar w:left="652" w:top="1440" w:right="339" w:bottom="1440" w:gutter="0" w:footer="0" w:header="0"/>
          <w:type w:val="continuous"/>
        </w:sectPr>
      </w:pPr>
    </w:p>
    <w:bookmarkStart w:id="5" w:name="page6"/>
    <w:bookmarkEnd w:id="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(i) our own internal estimates and research, (ii) 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the selling stockholder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Financial Statements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includes our audited consolidated financial statements and related notes for the years ended December 31, 2020 and December 31, 2019. These financial statements are presented on the basis of United States generally accepted accounting principles (“U.S. GAAP”). The consolidated financial statements include the accounts of Genworth Mortgage Holdings, Inc. (“GMHI”), its subsidiaries and those entities required to be consolidated under U.S. GAAP. GMHI has been a wholly owned subsidiary of the Parent since its incorporation in Delaware in 2012. On November 29, 2019, the Parent completed a holding company reorganization whereby the Parent contributed 100% of the issued and outstanding voting securities of GMHI to GHI. Post-contribution, GMHI is a direct, wholly owned subsidiary of GHI, and GHI is still a direct, wholly owned subsidiary of the Parent.</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All intercompany transactions and balances have been eliminated.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certain of our Parent’s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our U.S. GAAP operating results, we use adjusted operating income as a performance measure when planning, monitoring and evaluating our performance. Adjusted operating income is a non-U.S. GAAP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U.S. GAAP or other measures of profitability. We believe that this non-GAAP financial measure reflects our ongoing business in a manner that allows for meaningful period-to-period comparisons and analysis of trends in our business in conjunction with such data. In addition, other companies, including our peers, may calculate similar non-GAAP financial measures, such as adjusted operating income differently, reducing their usefulness as comparative measures between companies.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reporting non-GAAP financial measures in the future, we may make other adjustments for expenses and gains we do not consider reflective of core operating performance in a particular period. After this offering, we may disclose other non-GAAP financial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SM, ©, ® and TM symbols, but we will assert, to the fullest extent under applicable law, our rights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20, “Management’s Discussion and Analysis of Financial Condition and Results of Operations” beginning on page 79 and the audited consolidated financial statements and notes thereto for the years ended December 31, 2020 and 2019 and other financial information included elsewhere in this prospectus. As used in this prospectus, unless the context otherwise indicates, any reference to “our company,” “the company,” “us,” “we” and “our” refers to GMHI together with our consolidated subsidiaries.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Unless otherwise indicated, the information included in this prospectus assumes (1) the sale of our common stock in this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offering at the initial public offering price of $ per share of common stock, which is the mid point of the price range set forth on the cover of this prospectus, (2) reflects the recapitalization and exchange of our existing common stock, par value $0.01, whereby the selling stockholder will exchange the 100 shares of common stock owned by it, representing all of our issued and outstanding capital stock, in exchange for shares of a new class of common stock, par value $0.001, which our board of directors intends to approve and which will be effected prior to the effectiveness of the registration statement of which this prospectus forms a part and (3) that the underwriters have not exercised their option to purchase up</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i w:val="1"/>
          <w:iCs w:val="1"/>
          <w:color w:val="auto"/>
        </w:rPr>
        <w:t>to</w:t>
      </w:r>
      <w:r>
        <w:rPr>
          <w:sz w:val="20"/>
          <w:szCs w:val="20"/>
          <w:color w:val="auto"/>
        </w:rPr>
        <w:tab/>
      </w:r>
      <w:r>
        <w:rPr>
          <w:rFonts w:ascii="Arial" w:cs="Arial" w:eastAsia="Arial" w:hAnsi="Arial"/>
          <w:sz w:val="18"/>
          <w:szCs w:val="18"/>
          <w:i w:val="1"/>
          <w:iCs w:val="1"/>
          <w:color w:val="auto"/>
        </w:rPr>
        <w:t>additional shares of common stock.</w:t>
      </w:r>
    </w:p>
    <w:p>
      <w:pPr>
        <w:spacing w:after="0" w:line="15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In this prospectus, we make certain forward-looking statements, including expectations relating to our future performance. These expectations reflect management’s view of our prospects and are subject to the risks described under “Risk Factors” and “Cautionary Note Regarding Forward-Looking Statements and Market Data” in this prospectus. Our expectations of our future performance may change after the date of this prospectus and there is no guarantee that such expectations will prove to be accurate.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and 2019, we generated new insurance written (“NIW”) of $99.9 billion and $62.4 billion, respectively. Our market share for the same periods was approximately 16.6% and 16.3% respectively.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 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 time homebuyers (“FTHBs”).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the GSEs’ capital and operational standards known as the Private Mortgage Insurance Eligibility Requirements (“PMIERs”), and state regulatory standards compliance. We have enhanced our balance sheet in recent years as we transformed our business model from a “buy and hold” strategy to an “acquire, manage and distribute”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(as defined herein) that required us to maintain a PMIERs sufficiency ratio of 115% in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 -19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1" w:lineRule="exact"/>
        <w:rPr>
          <w:sz w:val="20"/>
          <w:szCs w:val="20"/>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housing market that has resulted in recent record levels of industry NIW:</w:t>
      </w:r>
    </w:p>
    <w:p>
      <w:pPr>
        <w:spacing w:after="0" w:line="102" w:lineRule="exact"/>
        <w:rPr>
          <w:rFonts w:ascii="Arial" w:cs="Arial" w:eastAsia="Arial" w:hAnsi="Arial"/>
          <w:sz w:val="18"/>
          <w:szCs w:val="18"/>
          <w:color w:val="auto"/>
        </w:rPr>
      </w:pPr>
    </w:p>
    <w:p>
      <w:pPr>
        <w:jc w:val="both"/>
        <w:ind w:left="960" w:firstLine="6"/>
        <w:spacing w:after="0" w:line="258" w:lineRule="auto"/>
        <w:tabs>
          <w:tab w:leader="none" w:pos="1279"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homeownership rates, particularly among FTHBs, which is a positive for our new business volumes. Rates for 30- year mortgages fell by just over two percentage points from the end of 2018 to the fourth quarter of 2020. Interest rates decreased over the course of 2020, as average rates on 30-year mortgages fell to 2.76% in the fourth quarter of 2020 from</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520"/>
        <w:spacing w:after="0" w:line="253" w:lineRule="auto"/>
        <w:rPr>
          <w:sz w:val="20"/>
          <w:szCs w:val="20"/>
          <w:color w:val="auto"/>
        </w:rPr>
      </w:pPr>
      <w:r>
        <w:rPr>
          <w:rFonts w:ascii="Arial" w:cs="Arial" w:eastAsia="Arial" w:hAnsi="Arial"/>
          <w:sz w:val="18"/>
          <w:szCs w:val="18"/>
          <w:color w:val="auto"/>
        </w:rPr>
        <w:t>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33" w:lineRule="exact"/>
        <w:rPr>
          <w:sz w:val="20"/>
          <w:szCs w:val="20"/>
          <w:color w:val="auto"/>
        </w:rPr>
      </w:pPr>
    </w:p>
    <w:p>
      <w:pPr>
        <w:jc w:val="both"/>
        <w:ind w:left="520" w:firstLine="6"/>
        <w:spacing w:after="0" w:line="256"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which has helped maintain strong consumer confidence in the housing market. Housing prices nationally increased 11.4% year-over-year in December 2020 according to the Federal Housing Finance Agency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33" w:lineRule="exact"/>
        <w:rPr>
          <w:rFonts w:ascii="Arial" w:cs="Arial" w:eastAsia="Arial" w:hAnsi="Arial"/>
          <w:sz w:val="18"/>
          <w:szCs w:val="18"/>
          <w:color w:val="auto"/>
        </w:rPr>
      </w:pPr>
    </w:p>
    <w:p>
      <w:pPr>
        <w:jc w:val="both"/>
        <w:ind w:left="520" w:firstLine="6"/>
        <w:spacing w:after="0" w:line="253"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2020 and 2021, 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133" w:lineRule="exact"/>
        <w:rPr>
          <w:rFonts w:ascii="Arial" w:cs="Arial" w:eastAsia="Arial" w:hAnsi="Arial"/>
          <w:sz w:val="18"/>
          <w:szCs w:val="18"/>
          <w:color w:val="auto"/>
        </w:rPr>
      </w:pPr>
    </w:p>
    <w:p>
      <w:pPr>
        <w:jc w:val="both"/>
        <w:ind w:left="520" w:right="20" w:firstLine="6"/>
        <w:spacing w:after="0" w:line="261" w:lineRule="auto"/>
        <w:tabs>
          <w:tab w:leader="none" w:pos="83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applications were 11% higher for 2020 compared to 2019 and experienced year-over-year gains every week starting from June, according to the Mortgage Bankers Association (“MBA”). Purchase applications were 24% higher for the fourth quarter of 2020 compared to the same quarter in 2019.</w:t>
      </w:r>
    </w:p>
    <w:p>
      <w:pPr>
        <w:spacing w:after="0" w:line="144"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30" w:lineRule="exact"/>
        <w:rPr>
          <w:sz w:val="20"/>
          <w:szCs w:val="20"/>
          <w:color w:val="auto"/>
        </w:rPr>
      </w:pPr>
    </w:p>
    <w:p>
      <w:pPr>
        <w:jc w:val="both"/>
        <w:ind w:left="520" w:firstLine="6"/>
        <w:spacing w:after="0" w:line="253" w:lineRule="auto"/>
        <w:tabs>
          <w:tab w:leader="none" w:pos="83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Coronavirus Aid, Relief, and Economic Security Act (the “CARES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government and GSE policies enacted in response to the COVID-19 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Inc. (“Black Knight”). As of March 9, 2021, 3.1% of all GSE mortgages were in forbearance according to Black Knight.</w:t>
      </w:r>
    </w:p>
    <w:p>
      <w:pPr>
        <w:sectPr>
          <w:pgSz w:w="11900" w:h="16838" w:orient="portrait"/>
          <w:cols w:equalWidth="0" w:num="1">
            <w:col w:w="9460"/>
          </w:cols>
          <w:pgMar w:left="144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460"/>
          </w:cols>
          <w:pgMar w:left="144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27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22"/>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in recent years is the result of improved risk analytics, stronger loan manufacturing quality controls, risk-based capital (“RBC”) rules and the regulatory implementation of the Qualified Mortgage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33" w:lineRule="exact"/>
        <w:rPr>
          <w:rFonts w:ascii="Arial" w:cs="Arial" w:eastAsia="Arial" w:hAnsi="Arial"/>
          <w:sz w:val="18"/>
          <w:szCs w:val="18"/>
          <w:color w:val="auto"/>
        </w:rPr>
      </w:pPr>
    </w:p>
    <w:p>
      <w:pPr>
        <w:jc w:val="both"/>
        <w:ind w:left="640" w:right="20" w:hanging="322"/>
        <w:spacing w:after="0" w:line="25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 private mortgage insurers have used CRT alternatives to reinsure or otherwise transfer risk to</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The industry uses both traditional reinsurance as well as mortgage insurance-linked notes (“MILNs”). According to U.S. Mortgage Insurers, as of October 2020 private mortgage insurers have transferred approximately $29 billion of risk to traditional reinsurers through quota share (“QS”) and excess-of-loss (“XOL”) transactions and transferred almost $12.3 billion of risk to the capital markets through MILN transactions since 2015.</w:t>
      </w:r>
    </w:p>
    <w:p>
      <w:pPr>
        <w:spacing w:after="0" w:line="150" w:lineRule="exact"/>
        <w:rPr>
          <w:rFonts w:ascii="Arial" w:cs="Arial" w:eastAsia="Arial" w:hAnsi="Arial"/>
          <w:sz w:val="18"/>
          <w:szCs w:val="18"/>
          <w:color w:val="auto"/>
        </w:rPr>
      </w:pPr>
    </w:p>
    <w:p>
      <w:pPr>
        <w:jc w:val="both"/>
        <w:ind w:left="640"/>
        <w:spacing w:after="0" w:line="253"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129"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has increased penetration as a result of the introduction of new GSE products designed to serve Low-Down Payment Loan borrowers and more competitive pricing by private mortgage insurers relative to the Federal Housing Administration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mortgage-backed securities (“MBS”).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40" w:hanging="322"/>
        <w:spacing w:after="0" w:line="259"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long-standing and 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hanging="322"/>
        <w:spacing w:after="0" w:line="254"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1" w:lineRule="exact"/>
        <w:rPr>
          <w:rFonts w:ascii="Arial" w:cs="Arial" w:eastAsia="Arial" w:hAnsi="Arial"/>
          <w:sz w:val="18"/>
          <w:szCs w:val="18"/>
          <w:color w:val="auto"/>
        </w:rPr>
      </w:pPr>
    </w:p>
    <w:p>
      <w:pPr>
        <w:jc w:val="both"/>
        <w:ind w:left="642" w:hanging="318"/>
        <w:spacing w:after="0" w:line="255"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distinguished our 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130" w:lineRule="exact"/>
        <w:rPr>
          <w:rFonts w:ascii="Arial" w:cs="Arial" w:eastAsia="Arial" w:hAnsi="Arial"/>
          <w:sz w:val="18"/>
          <w:szCs w:val="18"/>
          <w:color w:val="auto"/>
        </w:rPr>
      </w:pPr>
    </w:p>
    <w:p>
      <w:pPr>
        <w:jc w:val="both"/>
        <w:ind w:left="642" w:hanging="318"/>
        <w:spacing w:after="0" w:line="266"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jc w:val="both"/>
        <w:ind w:left="642" w:right="20" w:hanging="318"/>
        <w:spacing w:after="0" w:line="266"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provide unique offerings, including strategy and process consulting services and differentiated borrower-centric products.</w:t>
      </w:r>
    </w:p>
    <w:p>
      <w:pPr>
        <w:spacing w:after="0" w:line="117" w:lineRule="exact"/>
        <w:rPr>
          <w:rFonts w:ascii="Arial" w:cs="Arial" w:eastAsia="Arial" w:hAnsi="Arial"/>
          <w:sz w:val="18"/>
          <w:szCs w:val="18"/>
          <w:color w:val="auto"/>
        </w:rPr>
      </w:pPr>
    </w:p>
    <w:p>
      <w:pPr>
        <w:jc w:val="both"/>
        <w:ind w:left="322" w:hanging="322"/>
        <w:spacing w:after="0" w:line="257"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insurance in-force. </w:t>
      </w:r>
      <w:r>
        <w:rPr>
          <w:rFonts w:ascii="Arial" w:cs="Arial" w:eastAsia="Arial" w:hAnsi="Arial"/>
          <w:sz w:val="18"/>
          <w:szCs w:val="18"/>
          <w:color w:val="auto"/>
        </w:rPr>
        <w:t>As of December 31, 2020, we had $208 billion insurance in-force (“IIF”)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$182 billion as of December 31, 2019. Since January 1, 2019, we have generated $162 billion of NIW with an average market share of 16.5% and have grown our IIF 25% over the same time period. The growth in our IIF has resulted in premiums earned growing from $856 million for the twelve months ended December 31, 2019 to $971 million for the twelve months ended December 31, 2020. We believe our portfolio has significant embedded value potential and creates a strong foundation for future premiums.</w:t>
      </w:r>
    </w:p>
    <w:p>
      <w:pPr>
        <w:spacing w:after="0" w:line="128" w:lineRule="exact"/>
        <w:rPr>
          <w:rFonts w:ascii="Arial" w:cs="Arial" w:eastAsia="Arial" w:hAnsi="Arial"/>
          <w:sz w:val="18"/>
          <w:szCs w:val="18"/>
          <w:color w:val="auto"/>
        </w:rPr>
      </w:pPr>
    </w:p>
    <w:p>
      <w:pPr>
        <w:jc w:val="both"/>
        <w:ind w:left="322" w:hanging="322"/>
        <w:spacing w:after="0" w:line="255"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very 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48" w:lineRule="exact"/>
        <w:rPr>
          <w:rFonts w:ascii="Arial" w:cs="Arial" w:eastAsia="Arial" w:hAnsi="Arial"/>
          <w:sz w:val="18"/>
          <w:szCs w:val="18"/>
          <w:color w:val="auto"/>
        </w:rPr>
      </w:pPr>
    </w:p>
    <w:p>
      <w:pPr>
        <w:jc w:val="both"/>
        <w:ind w:left="322"/>
        <w:spacing w:after="0" w:line="251"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 of greater than 45% cash-out refinances or are investor-owned properties (each a “Risk Layer,” and collectively, “Risk Layers”). Among our High-Risk Loans as of December 31, 2020, none of our risk in-force (“RIF”) had three or more Risk Layers, 0.3% of our RIF had two Risk Layers and</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582"/>
          </w:cols>
          <w:pgMar w:left="1318"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spacing w:after="0" w:line="261" w:lineRule="auto"/>
        <w:rPr>
          <w:sz w:val="20"/>
          <w:szCs w:val="20"/>
          <w:color w:val="auto"/>
        </w:rPr>
      </w:pPr>
      <w:r>
        <w:rPr>
          <w:rFonts w:ascii="Arial" w:cs="Arial" w:eastAsia="Arial" w:hAnsi="Arial"/>
          <w:sz w:val="18"/>
          <w:szCs w:val="18"/>
          <w:color w:val="auto"/>
        </w:rPr>
        <w:t>1.0% of our RIF had one Risk Layer. For our NIW for the year ended December 31, 2020, only .04% of our High-Risk Loans had one or more of these added Risk Layers.</w:t>
      </w:r>
    </w:p>
    <w:p>
      <w:pPr>
        <w:spacing w:after="0" w:line="144" w:lineRule="exact"/>
        <w:rPr>
          <w:sz w:val="20"/>
          <w:szCs w:val="20"/>
          <w:color w:val="auto"/>
        </w:rPr>
      </w:pPr>
    </w:p>
    <w:p>
      <w:pPr>
        <w:jc w:val="both"/>
        <w:ind w:left="322"/>
        <w:spacing w:after="0" w:line="253"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86% of our delinquent policies-in-force (“PIFs”) and 75% of all PIFs have a mark to market LTV of less than or equal to 90%. With so many borrowers having significant equity in their home, we believe this provides an additional risk mitigant as borrowers will work to maintain their equity and avoid foreclosure.</w:t>
      </w:r>
    </w:p>
    <w:p>
      <w:pPr>
        <w:spacing w:after="0" w:line="129" w:lineRule="exact"/>
        <w:rPr>
          <w:sz w:val="20"/>
          <w:szCs w:val="20"/>
          <w:color w:val="auto"/>
        </w:rPr>
      </w:pPr>
    </w:p>
    <w:p>
      <w:pPr>
        <w:jc w:val="both"/>
        <w:ind w:left="322" w:hanging="322"/>
        <w:spacing w:after="0" w:line="262"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that 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642" w:hanging="318"/>
        <w:spacing w:after="0" w:line="253"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51" w:lineRule="exact"/>
        <w:rPr>
          <w:rFonts w:ascii="Arial" w:cs="Arial" w:eastAsia="Arial" w:hAnsi="Arial"/>
          <w:sz w:val="18"/>
          <w:szCs w:val="18"/>
          <w:color w:val="auto"/>
        </w:rPr>
      </w:pPr>
    </w:p>
    <w:p>
      <w:pPr>
        <w:jc w:val="both"/>
        <w:ind w:left="642" w:right="20" w:hanging="318"/>
        <w:spacing w:after="0" w:line="254"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149" w:lineRule="exact"/>
        <w:rPr>
          <w:rFonts w:ascii="Arial" w:cs="Arial" w:eastAsia="Arial" w:hAnsi="Arial"/>
          <w:sz w:val="18"/>
          <w:szCs w:val="18"/>
          <w:color w:val="auto"/>
        </w:rPr>
      </w:pPr>
    </w:p>
    <w:p>
      <w:pPr>
        <w:jc w:val="both"/>
        <w:ind w:left="642" w:right="20" w:hanging="318"/>
        <w:spacing w:after="0" w:line="252"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lifetime book year loss ratio and extend up to an approximate 70% lifetime book year loss ratio, depending on our co-participation level within the reinsurance tier. As of December 31, 2020, we maintain $1.4 billion of reinsurance protection outstanding on our 2009 to 2020 book years, providing $936 million of PMIERs capital support, which does not include the $495 million transaction with Triangle Re 2021-1 Ltd. (“Triangle Re 2021-1”) completed on March 2, 2021. See “Business—Credit Risk Transfer.” We plan to continue to utilize CRT transactions to effectively manage our through-the-cycle risk and return profile.</w:t>
      </w:r>
    </w:p>
    <w:p>
      <w:pPr>
        <w:spacing w:after="0" w:line="129"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2020, we had total U.S. GAAP stockholder equity of $3.9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(as defined herein). Our mortgage insurance subsidiaries had total statutory capital and surplus of $4.0 billion as of December 31, 2020. Our combined statutory risk-to-capital (“RTC”) ratio at the same date was 12.1:1, well below the North Carolina Department of Insurance (“NCDOI”) regulatory maximum of 25:1.</w:t>
      </w:r>
    </w:p>
    <w:p>
      <w:pPr>
        <w:spacing w:after="0" w:line="128"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 leadership team has significant experience in mortgage insurance and housing finance, with a proven track record of risk management, financial success and leadership through-the-cycle.</w:t>
      </w:r>
    </w:p>
    <w:p>
      <w:pPr>
        <w:spacing w:after="0" w:line="138" w:lineRule="exact"/>
        <w:rPr>
          <w:rFonts w:ascii="Arial" w:cs="Arial" w:eastAsia="Arial" w:hAnsi="Arial"/>
          <w:sz w:val="18"/>
          <w:szCs w:val="18"/>
          <w:color w:val="auto"/>
        </w:rPr>
      </w:pPr>
    </w:p>
    <w:p>
      <w:pPr>
        <w:ind w:left="642" w:hanging="318"/>
        <w:spacing w:after="0" w:line="261"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582"/>
          </w:cols>
          <w:pgMar w:left="1318"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60" w:right="20" w:hanging="318"/>
        <w:spacing w:after="0" w:line="261"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60" w:right="20" w:hanging="318"/>
        <w:spacing w:after="0" w:line="25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9" w:lineRule="exact"/>
        <w:rPr>
          <w:rFonts w:ascii="Arial" w:cs="Arial" w:eastAsia="Arial" w:hAnsi="Arial"/>
          <w:sz w:val="18"/>
          <w:szCs w:val="18"/>
          <w:color w:val="auto"/>
        </w:rPr>
      </w:pPr>
    </w:p>
    <w:p>
      <w:pPr>
        <w:ind w:left="960" w:right="20" w:hanging="318"/>
        <w:spacing w:after="0" w:line="261"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40" w:hanging="322"/>
        <w:spacing w:after="0" w:line="26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we wrote 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122"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28"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 customers a unique value proposition and an experience tailored to their needs,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 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2"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value to our stockholders by prioritizing the use of our capital to (i) support our existing policyholders; (ii) grow our mortgage insurance business; (iii) fund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128" w:lineRule="exact"/>
        <w:rPr>
          <w:sz w:val="20"/>
          <w:szCs w:val="20"/>
          <w:color w:val="auto"/>
        </w:rPr>
      </w:pPr>
    </w:p>
    <w:p>
      <w:pPr>
        <w:jc w:val="both"/>
        <w:ind w:left="640" w:hanging="322"/>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of the United States housing market. 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Parent currently owns all of the shares of our common stock indirectly through GHI. GHI, the sole selling</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stockholder in this offering, is selling shares (or shares if the underwriters exercise in full their option to purchase additional shares) of our common stock in this offering. Following this offering, our Parent will own approximately % (or approximately % if the underwriters exercise in full their option to purchase additional shares) of our outstanding common stock indirectly through GHI. Our Parent will therefore control a majority of the total voting power of our common stock. As a result, our Parent generally will be able to determine the outcome of corporate actions requiring majority stockholder approval, including, for example, the election of directors and the amendment of our certificate of incorporation and bylaws. Our Parent may also have interests that differ from yours and may vote in a way with which you disagree and which may be adverse to your interests. In addition, we will be a “controlled company” within the meaning of the Nasdaq rules, and intend to rely on certain “controlled company” exemptions from certain corporate governance requirements. For additional information regarding the exemptions on which we intend to rely, see “Management— Controlled Company” and “Risk Factors—General Risk Factors—We will be a ‘controlled company’ within the meaning of the Nasdaq rules and we will qualify for exemptions from certain corporate governance requirements.” For additional information regarding our Parent’s ability to control the outcome of matters put to a stockholder vote and potential conflicts of interest, see “Risk Factors—Risks Relating to Our Continuing Relationship with Our Parent—Our Parent will be able to exert significant influence over us and our corporate decisions.” and “Risk Factors—Risks Relating to Our Continuing Relationship with Our Parent—Conflicts of interest and other disputes may arise between our Parent and us that may be resolved in a manner unfavorable to us and our other stockholders.”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this offering, we and our Parent and certain of our Parent’s other subsidiaries intend to enter into agreements that will provide a framework for our ongoing relationship with our Parent. For example, following this offering and for so long as our Parent continues to beneficially own 50% or more of our outstanding common stock, our Parent will have the right to nominate the majority of our directors. For additional information regarding these agreements, see “Certain Relationships and Related Party Transactions—Relationship with Our Parent.”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depend on our Parent for certain services and are exposed to certain risks as a result of our relationship with our Parent. Our Parent also has substantial leverage, depends on us as a source of liquidity and is subject to the GSE Conditions which impose restrictions on our use of capital. See “Risk Factors—Risks Relating to Our Continuing Relationship with Our Parent—Our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negatively affect us,” “Risk Factors—Risks Relating to Our Continuing Relationship with Our Parent—The AXA Settlement may negatively affect our ability to finance our business with additional debt, equity or other strategic transactions”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October 21, 2016, our Parent entered into an agreement and plan of merger (the “Merger Agreement”) with Asia Pacific Global Capital Co., Ltd., a limited liability company incorporated in the People’s Republic of China and a subsidiary of China Oceanwide Holdings Group Co., Ltd., a limited liability company incorporated in the People’s Republic of China (together with its affiliates, “China Oceanwide”), and Asia Pacific Global Capital USA Corporation (“Merger Sub”), a Delaware corporation and a direct, wholly-owned subsidiary of Asia Pacific Insurance USA Holdings LLC (“Asia Pacific Insurance”), which is a Delaware limited liability company and owned by China Oceanwide, pursuant to which, subject to the terms and conditions set forth therein, Merger Sub would merge with and into our Parent, with our Parent surviving the merger as a direct, wholly-owned subsidiary of Asia Pacific Insurance (the “Merger”). China Oceanwide agreed to acquire all of our Parent’s outstanding common stock for a total transaction value of approximately $2.7 billion, or $5.43 per share in cash. As part of the transaction, China Oceanwide and/or its affiliates, additionally, committed to contribute an aggregate of $1.5 billion to our Parent over time following consummation of the Merger.</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the Merger Agreement, the parties have entered into various waivers and agreements thereto, extending the closing of the Merger. Most recently, on November 30, 2020, the parties entered into the Seventeenth Waiver and Agreement (the “Seventeenth Waiver”) of each party’s right to terminate their previously announced Merger Agreement. The Seventeenth Waiver extended the previous deadline of November 30, 2020 to no later than December 31, 2020 (the “End Date”). As reported by our Parent on January 4, 2021, given uncertainty around the completion and timing of the remaining steps required to close the transaction, our Parent and China Oceanwide have decided not to further extend the End Date under the Merger Agreement, but pursuant to the terms thereof, the Merger Agreement will remain in effect. Even though the Merger Agreement remains in effect, either party is able to terminate the Merger Agreement at any time. In addition, if China Oceanwide is able to secure the required funding to close the transaction, the parties would need to re-engage with their regulators to determine the re-approvals or confirmations that would be necessary to close the transaction.</w:t>
      </w:r>
    </w:p>
    <w:p>
      <w:pPr>
        <w:spacing w:after="0" w:line="15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addition to us, our Parent has ownership interests in an international mortgage insurance business located in Mexico and an investment in a mortgage guaranty business in India, each separate from our business. Our Parent also owns other insurance subsidiaries that provide long-term care and life insurance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148" w:lineRule="exact"/>
        <w:rPr>
          <w:sz w:val="20"/>
          <w:szCs w:val="20"/>
          <w:color w:val="auto"/>
        </w:rPr>
      </w:pPr>
    </w:p>
    <w:p>
      <w:pPr>
        <w:jc w:val="both"/>
        <w:ind w:left="640" w:right="20" w:hanging="322"/>
        <w:spacing w:after="0" w:line="25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right="20" w:hanging="322"/>
        <w:spacing w:after="0" w:line="253"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1"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pacing w:after="0" w:line="171"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49"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4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143"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143"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and ratings could be affected by issues affecting our Parent in a way that could materially and adversely affect our business, financial condition, liquidity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We currently qualify as an “emerging growth company”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emerging growth company upon consummation of this offering. Because we currently qualify as an emerging growth company, we are permitted to apply new accounting standards under an extended transition period available to private companies and take advantage of reduced reporting requirements in this prospectus. We have elected to apply the extended transition periods for new accounting standards applicable to private companies and reduced reporting requirements, as further described below.</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An emerging growth company may take advantage of reduced reporting requirements and is relieved of certain other significant requirements that are otherwise generally applicable to public companies. As an emerging growth company:</w:t>
      </w:r>
    </w:p>
    <w:p>
      <w:pPr>
        <w:spacing w:after="0" w:line="144" w:lineRule="exact"/>
        <w:rPr>
          <w:sz w:val="20"/>
          <w:szCs w:val="20"/>
          <w:color w:val="auto"/>
        </w:rPr>
      </w:pPr>
    </w:p>
    <w:p>
      <w:pPr>
        <w:ind w:left="640" w:right="20" w:hanging="322"/>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5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hanging="322"/>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147" w:lineRule="exact"/>
        <w:rPr>
          <w:rFonts w:ascii="Arial" w:cs="Arial" w:eastAsia="Arial" w:hAnsi="Arial"/>
          <w:sz w:val="18"/>
          <w:szCs w:val="18"/>
          <w:color w:val="auto"/>
        </w:rPr>
      </w:pPr>
    </w:p>
    <w:p>
      <w:pPr>
        <w:ind w:left="640" w:hanging="32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71"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elected to take advantage of the reduced disclosure requirements and other relief described in this prospectus and may take advantage of these exemptions for so long as we remain an emerging growth company. We have elected to apply the extended transition periods for new accounting standards applicable to private companies, further described in Note 2 to our audited consolidated financial statements for the years ended December 31, 2020 and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Chart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790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spacing w:after="0" w:line="261" w:lineRule="auto"/>
        <w:rPr>
          <w:sz w:val="20"/>
          <w:szCs w:val="20"/>
          <w:color w:val="auto"/>
        </w:rPr>
      </w:pPr>
      <w:r>
        <w:rPr>
          <w:rFonts w:ascii="Arial" w:cs="Arial" w:eastAsia="Arial" w:hAnsi="Arial"/>
          <w:sz w:val="18"/>
          <w:szCs w:val="18"/>
          <w:color w:val="auto"/>
        </w:rPr>
        <w:t>public stockholders will own approximately % of our outstanding common stock (approximately exercise in full their option to purchase additional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if the underwriters</w:t>
      </w:r>
    </w:p>
    <w:p>
      <w:pPr>
        <w:spacing w:after="0" w:line="443" w:lineRule="exact"/>
        <w:rPr>
          <w:sz w:val="20"/>
          <w:szCs w:val="20"/>
          <w:color w:val="auto"/>
        </w:rPr>
      </w:pPr>
    </w:p>
    <w:p>
      <w:pPr>
        <w:sectPr>
          <w:pgSz w:w="11900" w:h="16838" w:orient="portrait"/>
          <w:cols w:equalWidth="0" w:num="2">
            <w:col w:w="7906" w:space="320"/>
            <w:col w:w="1680"/>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jc w:val="both"/>
        <w:ind w:left="326" w:hanging="326"/>
        <w:spacing w:after="0" w:line="249" w:lineRule="auto"/>
        <w:tabs>
          <w:tab w:leader="none" w:pos="32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connection with the AXA Settlement (as defined herein), our Parent entered into a Promissory Note (as defined herein)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06"/>
          </w:cols>
          <w:pgMar w:left="994" w:top="1440" w:right="999" w:bottom="1440" w:gutter="0" w:footer="0" w:header="0"/>
          <w:type w:val="continuous"/>
        </w:sectPr>
      </w:pPr>
    </w:p>
    <w:bookmarkStart w:id="20" w:name="page21"/>
    <w:bookmarkEnd w:id="20"/>
    <w:p>
      <w:pPr>
        <w:spacing w:after="0" w:line="199" w:lineRule="auto"/>
        <w:framePr w:w="660" w:h="163" w:wrap="auto" w:vAnchor="page" w:hAnchor="page" w:x="6420" w:y="3946"/>
        <w:rPr>
          <w:rFonts w:ascii="Arial" w:cs="Arial" w:eastAsia="Arial" w:hAnsi="Arial"/>
          <w:sz w:val="17"/>
          <w:szCs w:val="17"/>
          <w:color w:val="auto"/>
        </w:rPr>
      </w:pPr>
      <w:r>
        <w:rPr>
          <w:rFonts w:ascii="Arial" w:cs="Arial" w:eastAsia="Arial" w:hAnsi="Arial"/>
          <w:sz w:val="17"/>
          <w:szCs w:val="17"/>
          <w:color w:val="auto"/>
        </w:rPr>
        <w:t>shares.</w:t>
      </w:r>
    </w:p>
    <w:p>
      <w:pPr>
        <w:spacing w:after="0" w:line="196" w:lineRule="auto"/>
        <w:framePr w:w="4500" w:h="338" w:wrap="auto" w:vAnchor="page" w:hAnchor="page" w:x="5920" w:y="4608"/>
        <w:rPr>
          <w:rFonts w:ascii="Arial" w:cs="Arial" w:eastAsia="Arial" w:hAnsi="Arial"/>
          <w:sz w:val="18"/>
          <w:szCs w:val="18"/>
          <w:color w:val="auto"/>
        </w:rPr>
      </w:pPr>
      <w:r>
        <w:rPr>
          <w:rFonts w:ascii="Arial" w:cs="Arial" w:eastAsia="Arial" w:hAnsi="Arial"/>
          <w:sz w:val="18"/>
          <w:szCs w:val="18"/>
          <w:color w:val="auto"/>
        </w:rPr>
        <w:t>The selling stockholder has granted the underwriters an option to purchase, within 30 days of the date of this</w:t>
      </w:r>
    </w:p>
    <w:p>
      <w:pPr>
        <w:spacing w:after="0" w:line="196" w:lineRule="auto"/>
        <w:framePr w:w="4900" w:h="338" w:wrap="auto" w:vAnchor="page" w:hAnchor="page" w:x="5920" w:y="4959"/>
        <w:rPr>
          <w:rFonts w:ascii="Arial" w:cs="Arial" w:eastAsia="Arial" w:hAnsi="Arial"/>
          <w:sz w:val="18"/>
          <w:szCs w:val="18"/>
          <w:color w:val="auto"/>
        </w:rPr>
      </w:pPr>
      <w:r>
        <w:rPr>
          <w:rFonts w:ascii="Arial" w:cs="Arial" w:eastAsia="Arial" w:hAnsi="Arial"/>
          <w:sz w:val="18"/>
          <w:szCs w:val="18"/>
          <w:color w:val="auto"/>
        </w:rPr>
        <w:t>prospectus, up to additional shares, at the initial public offering price, less the underwriting discount.</w:t>
      </w:r>
    </w:p>
    <w:p>
      <w:pPr>
        <w:spacing w:after="0" w:line="201" w:lineRule="auto"/>
        <w:framePr w:w="4980" w:h="1391" w:wrap="auto" w:vAnchor="page" w:hAnchor="page" w:x="5920" w:y="5418"/>
        <w:rPr>
          <w:rFonts w:ascii="Arial" w:cs="Arial" w:eastAsia="Arial" w:hAnsi="Arial"/>
          <w:sz w:val="18"/>
          <w:szCs w:val="18"/>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reimburse us for expenses attributable to their sale of our common stock. See “Use of Proceeds.”</w:t>
      </w:r>
    </w:p>
    <w:p>
      <w:pPr>
        <w:spacing w:after="0" w:line="200" w:lineRule="auto"/>
        <w:framePr w:w="4900" w:h="865" w:wrap="auto" w:vAnchor="page" w:hAnchor="page" w:x="5920" w:y="6930"/>
        <w:rPr>
          <w:rFonts w:ascii="Arial" w:cs="Arial" w:eastAsia="Arial" w:hAnsi="Arial"/>
          <w:sz w:val="18"/>
          <w:szCs w:val="18"/>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See “Dividend Policy.”</w:t>
      </w:r>
    </w:p>
    <w:p>
      <w:pPr>
        <w:jc w:val="both"/>
        <w:spacing w:after="0" w:line="199" w:lineRule="auto"/>
        <w:framePr w:w="4660" w:h="689" w:wrap="auto" w:vAnchor="page" w:hAnchor="page" w:x="5920" w:y="7915"/>
        <w:rPr>
          <w:rFonts w:ascii="Arial" w:cs="Arial" w:eastAsia="Arial" w:hAnsi="Arial"/>
          <w:sz w:val="18"/>
          <w:szCs w:val="18"/>
          <w:color w:val="auto"/>
        </w:rPr>
      </w:pPr>
      <w:r>
        <w:rPr>
          <w:rFonts w:ascii="Arial" w:cs="Arial" w:eastAsia="Arial" w:hAnsi="Arial"/>
          <w:sz w:val="18"/>
          <w:szCs w:val="18"/>
          <w:color w:val="auto"/>
        </w:rPr>
        <w:t>Following this offering, we will be a “controlled company” within the meaning of the Nasdaq rules as our Parent will continue to own, through GHI, more than a majority of the total voting power of our common stock.</w:t>
      </w:r>
    </w:p>
    <w:p>
      <w:pPr>
        <w:spacing w:after="0" w:line="196" w:lineRule="auto"/>
        <w:framePr w:w="4780" w:h="338" w:wrap="auto" w:vAnchor="page" w:hAnchor="page" w:x="5920" w:y="8725"/>
        <w:rPr>
          <w:rFonts w:ascii="Arial" w:cs="Arial" w:eastAsia="Arial" w:hAnsi="Arial"/>
          <w:sz w:val="18"/>
          <w:szCs w:val="18"/>
          <w:color w:val="auto"/>
        </w:rPr>
      </w:pPr>
      <w:r>
        <w:rPr>
          <w:rFonts w:ascii="Arial" w:cs="Arial" w:eastAsia="Arial" w:hAnsi="Arial"/>
          <w:sz w:val="18"/>
          <w:szCs w:val="18"/>
          <w:color w:val="auto"/>
        </w:rPr>
        <w:t>We intend to apply to list our common stock on the Nasdaq under the symbol “ .”</w:t>
      </w:r>
    </w:p>
    <w:p>
      <w:pPr>
        <w:spacing w:after="0" w:line="200" w:lineRule="auto"/>
        <w:framePr w:w="4980" w:h="865" w:wrap="auto" w:vAnchor="page" w:hAnchor="page" w:x="5920" w:y="9319"/>
        <w:rPr>
          <w:rFonts w:ascii="Arial" w:cs="Arial" w:eastAsia="Arial" w:hAnsi="Arial"/>
          <w:sz w:val="18"/>
          <w:szCs w:val="18"/>
          <w:color w:val="auto"/>
        </w:rPr>
      </w:pPr>
      <w:r>
        <w:rPr>
          <w:rFonts w:ascii="Arial" w:cs="Arial" w:eastAsia="Arial" w:hAnsi="Arial"/>
          <w:sz w:val="18"/>
          <w:szCs w:val="18"/>
          <w:color w:val="auto"/>
        </w:rPr>
        <w:t>An investment in our common stock is subject to substantial risks. Please refer to the information contained in the sections entitled “Summary Risk Factors” and “Risk Factors” for a discussion of factors you should carefully consider before investing in our common stock.</w:t>
      </w:r>
    </w:p>
    <w:p>
      <w:pPr>
        <w:ind w:firstLine="500"/>
        <w:spacing w:after="0" w:line="199" w:lineRule="auto"/>
        <w:framePr w:w="4880" w:h="689" w:wrap="auto" w:vAnchor="page" w:hAnchor="page" w:x="5920" w:y="2961"/>
        <w:rPr>
          <w:rFonts w:ascii="Arial" w:cs="Arial" w:eastAsia="Arial" w:hAnsi="Arial"/>
          <w:sz w:val="18"/>
          <w:szCs w:val="18"/>
          <w:color w:val="auto"/>
        </w:rPr>
      </w:pPr>
      <w:r>
        <w:rPr>
          <w:rFonts w:ascii="Arial" w:cs="Arial" w:eastAsia="Arial" w:hAnsi="Arial"/>
          <w:sz w:val="18"/>
          <w:szCs w:val="18"/>
          <w:color w:val="auto"/>
        </w:rPr>
        <w:t>shares (plus up to an additional shares of common stock that the selling stockholder may sell upon the exercise of the underwriters’ option to purchase additional shares of common stock).</w:t>
      </w:r>
    </w:p>
    <w:p>
      <w:pPr>
        <w:spacing w:after="0" w:line="20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73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07314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b w:val="1"/>
          <w:bCs w:val="1"/>
          <w:color w:val="auto"/>
        </w:rPr>
        <w:t>The Offering</w:t>
      </w:r>
    </w:p>
    <w:p>
      <w:pPr>
        <w:spacing w:after="0" w:line="333" w:lineRule="exact"/>
        <w:rPr>
          <w:rFonts w:ascii="Arial" w:cs="Arial" w:eastAsia="Arial" w:hAnsi="Arial"/>
          <w:sz w:val="18"/>
          <w:szCs w:val="18"/>
          <w:color w:val="auto"/>
        </w:rPr>
      </w:pPr>
    </w:p>
    <w:p>
      <w:pPr>
        <w:ind w:left="160" w:right="4539" w:hanging="161"/>
        <w:spacing w:after="0" w:line="287" w:lineRule="auto"/>
        <w:rPr>
          <w:sz w:val="20"/>
          <w:szCs w:val="20"/>
          <w:color w:val="auto"/>
        </w:rPr>
      </w:pPr>
      <w:r>
        <w:rPr>
          <w:rFonts w:ascii="Arial" w:cs="Arial" w:eastAsia="Arial" w:hAnsi="Arial"/>
          <w:sz w:val="18"/>
          <w:szCs w:val="18"/>
          <w:b w:val="1"/>
          <w:bCs w:val="1"/>
          <w:color w:val="auto"/>
        </w:rPr>
        <w:t>Common stock offered by the selling stockholder in this offering</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Common stock outstanding before and after this offering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Underwriters’ option to purchase additional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439"/>
          </w:cols>
          <w:pgMar w:left="102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350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35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 sets forth GMHI’s summary historical consolidated financial and operating data as of the dates and for the periods indicated. The historical consolidated financial and operating data as of December 31, 2020 and 2019 and for each of the years ended December 31, 2020 and 2019 have been derived from our audited consolidated financial statements included elsewhere in this prospectus. See “Basis of Presentation and Non-GAAP Measures.” Our consolidated financial statements and the related notes were prepared on a standalone basis and were derived from the consolidated financial statements and accounting records of our Parent. GMHI has been a wholly owned subsidiary of the Parent since its incorporation in Delaware in 2012. On November 29, 2019, the Parent completed a holding company reorganization whereby the Parent contributed 100% of the issued and outstanding voting securities of GMHI to GHI. Post-contribution, GMHI is a direct, wholly owned subsidiary of GHI, and GHI is still a direct, wholly owned subsidiary of the Parent.</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11 to our audited consolidated financial statements for further information regarding the allocation of our Parent’s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00"/>
          </w:cols>
          <w:pgMar w:left="1000" w:top="1440" w:right="999" w:bottom="1440" w:gutter="0" w:footer="0" w:header="0"/>
        </w:sectPr>
      </w:pPr>
    </w:p>
    <w:bookmarkStart w:id="22" w:name="page23"/>
    <w:bookmarkEnd w:id="22"/>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40"/>
        </w:trPr>
        <w:tc>
          <w:tcPr>
            <w:tcW w:w="66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3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2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698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Premiums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971,365</w:t>
            </w:r>
          </w:p>
        </w:tc>
        <w:tc>
          <w:tcPr>
            <w:tcW w:w="80" w:type="dxa"/>
            <w:vAlign w:val="bottom"/>
          </w:tcPr>
          <w:p>
            <w:pPr>
              <w:spacing w:after="0"/>
              <w:rPr>
                <w:sz w:val="19"/>
                <w:szCs w:val="19"/>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856,976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1,106,459</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978,853</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Losses incurred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379,834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49,850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and operating expenses, net of deferrals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Amortization of deferred acquisition costs and intangibles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15,065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634,041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Change in fair value of unconsolidated affiliate, net of taxes</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115,290</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 w:type="dxa"/>
            <w:vAlign w:val="bottom"/>
            <w:tcBorders>
              <w:left w:val="single" w:sz="8" w:color="auto"/>
            </w:tcBorders>
          </w:tcPr>
          <w:p>
            <w:pPr>
              <w:spacing w:after="0"/>
              <w:rPr>
                <w:sz w:val="24"/>
                <w:szCs w:val="24"/>
                <w:color w:val="auto"/>
              </w:rPr>
            </w:pPr>
          </w:p>
        </w:tc>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Fixed maturity securities available-for-sale,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5,046,596</w:t>
            </w:r>
          </w:p>
        </w:tc>
        <w:tc>
          <w:tcPr>
            <w:tcW w:w="80" w:type="dxa"/>
            <w:vAlign w:val="bottom"/>
          </w:tcPr>
          <w:p>
            <w:pPr>
              <w:spacing w:after="0"/>
              <w:rPr>
                <w:sz w:val="19"/>
                <w:szCs w:val="19"/>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3,764,432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153,320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555,679</w:t>
            </w:r>
          </w:p>
        </w:tc>
        <w:tc>
          <w:tcPr>
            <w:tcW w:w="80" w:type="dxa"/>
            <w:vAlign w:val="bottom"/>
          </w:tcPr>
          <w:p>
            <w:pPr>
              <w:spacing w:after="0"/>
              <w:rPr>
                <w:sz w:val="19"/>
                <w:szCs w:val="19"/>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235,062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698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738,162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3,827,075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-5384800</wp:posOffset>
            </wp:positionV>
            <wp:extent cx="628332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-5093335</wp:posOffset>
            </wp:positionV>
            <wp:extent cx="628332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-4801870</wp:posOffset>
            </wp:positionV>
            <wp:extent cx="62833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-4502150</wp:posOffset>
            </wp:positionV>
            <wp:extent cx="628332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-4210685</wp:posOffset>
            </wp:positionV>
            <wp:extent cx="62833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-3919220</wp:posOffset>
            </wp:positionV>
            <wp:extent cx="62833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-3610610</wp:posOffset>
            </wp:positionV>
            <wp:extent cx="62833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-3310255</wp:posOffset>
            </wp:positionV>
            <wp:extent cx="628332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-2401570</wp:posOffset>
            </wp:positionV>
            <wp:extent cx="62833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-2110105</wp:posOffset>
            </wp:positionV>
            <wp:extent cx="628332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-1793240</wp:posOffset>
            </wp:positionV>
            <wp:extent cx="628332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-1501775</wp:posOffset>
            </wp:positionV>
            <wp:extent cx="628332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-1210310</wp:posOffset>
            </wp:positionV>
            <wp:extent cx="628332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-918845</wp:posOffset>
            </wp:positionV>
            <wp:extent cx="628332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7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87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ind w:left="40"/>
              <w:spacing w:after="0"/>
              <w:rPr>
                <w:sz w:val="20"/>
                <w:szCs w:val="20"/>
                <w:color w:val="auto"/>
              </w:rPr>
            </w:pPr>
            <w:r>
              <w:rPr>
                <w:rFonts w:ascii="Arial" w:cs="Arial" w:eastAsia="Arial" w:hAnsi="Arial"/>
                <w:sz w:val="14"/>
                <w:szCs w:val="14"/>
                <w:b w:val="1"/>
                <w:bCs w:val="1"/>
                <w:color w:val="auto"/>
              </w:rPr>
              <w:t>Other Operating Data</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amounts in millions)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99,871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62,431</w:t>
            </w:r>
          </w:p>
        </w:tc>
      </w:tr>
      <w:tr>
        <w:trPr>
          <w:trHeight w:val="230"/>
        </w:trPr>
        <w:tc>
          <w:tcPr>
            <w:tcW w:w="67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IIF (as of) </w:t>
            </w:r>
            <w:r>
              <w:rPr>
                <w:rFonts w:ascii="Arial" w:cs="Arial" w:eastAsia="Arial" w:hAnsi="Arial"/>
                <w:sz w:val="23"/>
                <w:szCs w:val="23"/>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181,785</w:t>
            </w:r>
          </w:p>
        </w:tc>
      </w:tr>
      <w:tr>
        <w:trPr>
          <w:trHeight w:val="229"/>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RIF (as of) </w:t>
            </w:r>
            <w:r>
              <w:rPr>
                <w:rFonts w:ascii="Arial" w:cs="Arial" w:eastAsia="Arial" w:hAnsi="Arial"/>
                <w:sz w:val="23"/>
                <w:szCs w:val="23"/>
                <w:color w:val="auto"/>
                <w:vertAlign w:val="superscript"/>
              </w:rPr>
              <w:t>(3)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52,475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46,246</w:t>
            </w:r>
          </w:p>
        </w:tc>
      </w:tr>
      <w:tr>
        <w:trPr>
          <w:trHeight w:val="229"/>
        </w:trPr>
        <w:tc>
          <w:tcPr>
            <w:tcW w:w="67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Adjusted Operating Income (for the period ended) </w:t>
            </w:r>
            <w:r>
              <w:rPr>
                <w:rFonts w:ascii="Arial" w:cs="Arial" w:eastAsia="Arial" w:hAnsi="Arial"/>
                <w:sz w:val="23"/>
                <w:szCs w:val="23"/>
                <w:color w:val="auto"/>
                <w:vertAlign w:val="superscript"/>
              </w:rPr>
              <w:t>(5)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562</w:t>
            </w:r>
          </w:p>
        </w:tc>
      </w:tr>
      <w:tr>
        <w:trPr>
          <w:trHeight w:val="229"/>
        </w:trPr>
        <w:tc>
          <w:tcPr>
            <w:tcW w:w="67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Expense ratio (net earned premiums) (for the period ended) </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67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23"/>
                <w:szCs w:val="23"/>
                <w:color w:val="auto"/>
                <w:vertAlign w:val="superscript"/>
              </w:rPr>
              <w:t>(8)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1,057</w:t>
            </w:r>
          </w:p>
        </w:tc>
      </w:tr>
      <w:tr>
        <w:trPr>
          <w:trHeight w:val="229"/>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23"/>
                <w:szCs w:val="23"/>
                <w:color w:val="auto"/>
                <w:vertAlign w:val="superscript"/>
              </w:rPr>
              <w:t>(9)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30"/>
        </w:trPr>
        <w:tc>
          <w:tcPr>
            <w:tcW w:w="670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23"/>
                <w:szCs w:val="23"/>
                <w:color w:val="auto"/>
                <w:vertAlign w:val="superscript"/>
              </w:rPr>
              <w:t>(10)</w:t>
            </w:r>
          </w:p>
        </w:tc>
        <w:tc>
          <w:tcPr>
            <w:tcW w:w="3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12.5</w:t>
            </w:r>
          </w:p>
        </w:tc>
      </w:tr>
      <w:tr>
        <w:trPr>
          <w:trHeight w:val="229"/>
        </w:trPr>
        <w:tc>
          <w:tcPr>
            <w:tcW w:w="670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Policies in-force (count) (as of) </w:t>
            </w:r>
            <w:r>
              <w:rPr>
                <w:rFonts w:ascii="Arial" w:cs="Arial" w:eastAsia="Arial" w:hAnsi="Arial"/>
                <w:sz w:val="23"/>
                <w:szCs w:val="23"/>
                <w:color w:val="auto"/>
                <w:vertAlign w:val="superscript"/>
              </w:rPr>
              <w:t>(11)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924,624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851,070</w:t>
            </w:r>
          </w:p>
        </w:tc>
      </w:tr>
      <w:tr>
        <w:trPr>
          <w:trHeight w:val="229"/>
        </w:trPr>
        <w:tc>
          <w:tcPr>
            <w:tcW w:w="670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23"/>
                <w:szCs w:val="23"/>
                <w:color w:val="auto"/>
                <w:vertAlign w:val="superscript"/>
              </w:rPr>
              <w:t>(12)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44,904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16,392</w:t>
            </w:r>
          </w:p>
        </w:tc>
      </w:tr>
      <w:tr>
        <w:trPr>
          <w:trHeight w:val="248"/>
        </w:trPr>
        <w:tc>
          <w:tcPr>
            <w:tcW w:w="6700" w:type="dxa"/>
            <w:vAlign w:val="bottom"/>
            <w:tcBorders>
              <w:bottom w:val="single" w:sz="8" w:color="CCEEFF"/>
            </w:tcBorders>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23"/>
                <w:szCs w:val="23"/>
                <w:color w:val="auto"/>
                <w:vertAlign w:val="superscript"/>
              </w:rPr>
              <w:t>(13)</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the aggregate loan balance on new primary policies written during a given period. See “Management’s Discussion and Analysis of Financial Condition and Results of Operations—Results of Operations and Key Metrics—Key Metrics.”</w:t>
      </w:r>
    </w:p>
    <w:p>
      <w:pPr>
        <w:jc w:val="both"/>
        <w:ind w:left="340" w:right="2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the aggregated estimated unpaid principal balance of the primary mortgages we insure at a given date. IIF represents the remaining sum total of NIW from all prior periods less policy cancellations (including for prepayment, nonpayment of premiums and claims payment) and rescissions. See “Management’s Discussion and Analysis of Financial Condition and Results of Operations— Results of Operations and Key Metrics—Key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the aggregate amount of coverage we provide on primary policies in-force as of a given date. RIF is calculated as the sum total of coverage percentage of each individual policy in our portfolio applied to the estimated unpaid principal balance of such insured mortgage. See “Management’s Discussion and Analysis of Financial Condition and Results of Operations—Results of Operations and Key Metrics—Key Metrics.”</w:t>
      </w:r>
    </w:p>
    <w:p>
      <w:pPr>
        <w:spacing w:after="0" w:line="1" w:lineRule="exact"/>
        <w:rPr>
          <w:rFonts w:ascii="Arial" w:cs="Arial" w:eastAsia="Arial" w:hAnsi="Arial"/>
          <w:sz w:val="16"/>
          <w:szCs w:val="16"/>
          <w:color w:val="auto"/>
        </w:rPr>
      </w:pPr>
    </w:p>
    <w:p>
      <w:pPr>
        <w:jc w:val="both"/>
        <w:ind w:left="340" w:right="2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the annualized percentage of IIF for prior periods (quarter or year) on a primary basis that remains as of a given date. See “Management’s Discussion and Analysis of Financial Condition and Results of Operations—Results of Operations and Key Metrics— 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operating income is a Non-GAAP measure. We present adjusted operating income as a supplemental measure of our performance. See “Management’s Discussion and Analysis of Financial Condition and Results of Operations—Results of Operations and Key Metrics—Use of Non-GAAP Measures” for its definition and a reconciliation to net income and “Basis of Presentation and Non-GAAP Measures—Non-GAAP Measures.”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losses incurred by net earned premiums.</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by dividing acquisition and operating expenses, net of deferrals, plus amortization of DAC and intangibles by net earned premiums.</w:t>
      </w:r>
    </w:p>
    <w:p>
      <w:pPr>
        <w:ind w:left="340" w:hanging="32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as total available assets less net required assets, based on the PMIERs then in effect.</w:t>
      </w:r>
    </w:p>
    <w:p>
      <w:pPr>
        <w:spacing w:after="0" w:line="5" w:lineRule="exact"/>
        <w:rPr>
          <w:rFonts w:ascii="Arial" w:cs="Arial" w:eastAsia="Arial" w:hAnsi="Arial"/>
          <w:sz w:val="16"/>
          <w:szCs w:val="16"/>
          <w:color w:val="auto"/>
        </w:rPr>
      </w:pPr>
    </w:p>
    <w:p>
      <w:pPr>
        <w:ind w:left="340" w:hanging="32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Calculated as total available assets divided by net required assets, based on the PMIERs then in effect.</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primary operating subsidiary, GMICO’s RTC ratio, calculated by dividing GMICO’s statutory RTC RIF by its statutory capital (insurer’s policyholders’ surplus plus the statutory contingency reserves).</w:t>
      </w:r>
    </w:p>
    <w:p>
      <w:pPr>
        <w:ind w:left="320" w:hanging="306"/>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the number of primary policies we insure as of the dates indicated.</w:t>
      </w:r>
    </w:p>
    <w:p>
      <w:pPr>
        <w:spacing w:after="0" w:line="5" w:lineRule="exact"/>
        <w:rPr>
          <w:rFonts w:ascii="Arial" w:cs="Arial" w:eastAsia="Arial" w:hAnsi="Arial"/>
          <w:sz w:val="16"/>
          <w:szCs w:val="16"/>
          <w:color w:val="auto"/>
        </w:rPr>
      </w:pPr>
    </w:p>
    <w:p>
      <w:pPr>
        <w:ind w:left="340" w:hanging="326"/>
        <w:spacing w:after="0" w:line="246"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on a primary basis the total delinquent loans reported to us as of the dates indicated. See “Management’s Discussion and Analysis of Financial Condition and Results of Operations—Results of Operations and Key Metrics—Key Metrics.”</w:t>
      </w:r>
    </w:p>
    <w:p>
      <w:pPr>
        <w:ind w:left="340" w:right="20" w:hanging="326"/>
        <w:spacing w:after="0" w:line="260"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Presents on a primary basis the total reported delinquent loans divided by the total policies in force. See “Management’s Discussion and Analysis of Financial Condition and Results of Operations—Results of Operations and Key Metrics—Key Metrics.”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920"/>
          </w:cols>
          <w:pgMar w:left="980" w:top="1440" w:right="999" w:bottom="1440" w:gutter="0" w:footer="0" w:header="0"/>
          <w:type w:val="continuous"/>
        </w:sectPr>
      </w:pPr>
    </w:p>
    <w:bookmarkStart w:id="24" w:name="page25"/>
    <w:bookmarkEnd w:id="2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“Management’s Discussion and Analysis of Financial Condition and Results of Operations”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“Cautionary Note Regarding Forward-Looking Statements and Market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 -19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COVID-19 pandemic has resulted in the temporary or permanent closures of many businesses and has given way to the institution of social distancing and other requirements in most states and communities in the United States. New information about the severity and duration of the COVID-19 pandemic, the emergence of COVID-19 variants or other public health issues, and government authorities, business, and societal reactions to that information, may increase the severity or duration of the COVID-19 pandemic and its effects. The effectiveness and availability of approved vaccines and the distribution and administering of such vaccines remains uncertain and lower-than-expected effectiveness, inefficient or ineffective distribution and reluctance to take the vaccine may similarly increase the severity or duration of the COVID-19 pandemic and its effects.</w:t>
      </w:r>
    </w:p>
    <w:p>
      <w:pPr>
        <w:spacing w:after="0" w:line="15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Since the outbreak of the COVID-19 pandemic, there have been a number of governmental and GSE efforts to implement programs designed to assist individuals and businesses impacted by the virus. On March 27, 2020, the CARES Act was signed into law. 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w:t>
      </w:r>
    </w:p>
    <w:p>
      <w:pPr>
        <w:spacing w:after="0" w:line="2" w:lineRule="exact"/>
        <w:rPr>
          <w:sz w:val="20"/>
          <w:szCs w:val="20"/>
          <w:color w:val="auto"/>
        </w:rPr>
      </w:pPr>
    </w:p>
    <w:p>
      <w:pPr>
        <w:jc w:val="both"/>
        <w:ind w:firstLine="8"/>
        <w:spacing w:after="0" w:line="256" w:lineRule="auto"/>
        <w:tabs>
          <w:tab w:leader="none" w:pos="3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 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for single-family mortgages that are purchased by Fannie Mae and Freddie Mac.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In addition, the expiration or discontinuation of any governmental or GSE forbearance or foreclosure relief program could further exacerbate the financial condition of borrowers on loans we insure or economic conditions generally, which could have a material adverse effect on our business, results of operations and financial condition. We have taken steps to mitigate some of the risks associated with COVID-19. However, 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the duration of any resurgences of COVID-19, the effectiveness and availability of vaccines, the willingness of people to be vaccinated,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which we expect to maintain until at least September 1, 2021.</w:t>
      </w:r>
    </w:p>
    <w:p>
      <w:pPr>
        <w:spacing w:after="0" w:line="15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expect that COVID-19 and measures taken to reduce its spread will continue to pervasively impact our business, subjecting us to the following risks:</w:t>
      </w:r>
    </w:p>
    <w:p>
      <w:pPr>
        <w:spacing w:after="0" w:line="144" w:lineRule="exact"/>
        <w:rPr>
          <w:sz w:val="20"/>
          <w:szCs w:val="20"/>
          <w:color w:val="auto"/>
        </w:rPr>
      </w:pPr>
    </w:p>
    <w:p>
      <w:pPr>
        <w:jc w:val="both"/>
        <w:ind w:left="660" w:hanging="328"/>
        <w:spacing w:after="0" w:line="25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85,074 during the year 2020 of which 11,923 occurred in the fourth quarter of 2020. The primary delinquency rate, which includes both new and existing delinquencies, was 4.86% as of December 31, 2020 compared to 1.93% as of December 31, 2019. Approximately 82% of our primary new delinquencies between second and fourth quarters of 2020 were subject to a forbearance plan as compared to less than 1% in recent quarters prior to COVID-19. Of the total number of loans in forbearance, 37% of the borrowers were still making payments, while 63% were reported as delinquent as of December 31, 2020.</w:t>
      </w:r>
    </w:p>
    <w:p>
      <w:pPr>
        <w:spacing w:after="0" w:line="15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pandemic could place a significant strain on the operations and financial condition of mortgage servicers, which could disrupt the servicing or servicing transfers of mortgage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ind w:left="328"/>
        <w:spacing w:after="0" w:line="261" w:lineRule="auto"/>
        <w:rPr>
          <w:sz w:val="20"/>
          <w:szCs w:val="20"/>
          <w:color w:val="auto"/>
        </w:rPr>
      </w:pPr>
      <w:r>
        <w:rPr>
          <w:rFonts w:ascii="Arial" w:cs="Arial" w:eastAsia="Arial" w:hAnsi="Arial"/>
          <w:sz w:val="18"/>
          <w:szCs w:val="18"/>
          <w:color w:val="auto"/>
        </w:rPr>
        <w:t>covered by our insurance policies or result in servicers failing to timely remit premiums and appropriately report the status of loans, including whether the loans are subject to a COVID-19-related forbearance program.</w:t>
      </w:r>
    </w:p>
    <w:p>
      <w:pPr>
        <w:spacing w:after="0" w:line="144" w:lineRule="exact"/>
        <w:rPr>
          <w:sz w:val="20"/>
          <w:szCs w:val="20"/>
          <w:color w:val="auto"/>
        </w:rPr>
      </w:pPr>
    </w:p>
    <w:p>
      <w:pPr>
        <w:ind w:left="328" w:hanging="328"/>
        <w:spacing w:after="0" w:line="261"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receive fewer mortgage insurance premiums as a result of loans going into default or be unable to cancel insurance coverage for nonpayment of premiums due to state moratoriums that could temporarily suspend such actions by insurers.</w:t>
      </w:r>
    </w:p>
    <w:p>
      <w:pPr>
        <w:spacing w:after="0" w:line="143"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overall policy persistency and an increased level of mortgage loan refinancings, driven by historically low mortgage interest rates as a result of U.S. monetary policy following COVID-19 and other reasons, could reduce the profitability of our insurance portfolio.</w:t>
      </w:r>
    </w:p>
    <w:p>
      <w:pPr>
        <w:spacing w:after="0" w:line="147" w:lineRule="exact"/>
        <w:rPr>
          <w:rFonts w:ascii="Arial" w:cs="Arial" w:eastAsia="Arial" w:hAnsi="Arial"/>
          <w:sz w:val="18"/>
          <w:szCs w:val="18"/>
          <w:color w:val="auto"/>
        </w:rPr>
      </w:pPr>
    </w:p>
    <w:p>
      <w:pPr>
        <w:jc w:val="both"/>
        <w:ind w:left="328" w:hanging="328"/>
        <w:spacing w:after="0" w:line="251"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the duration of the forbearance and economic conditions at that time and our current estimates about the number of delinquencies for which we will receive claims, and the amount, or severity, of each claim, could increase or decrease.</w:t>
      </w:r>
    </w:p>
    <w:p>
      <w:pPr>
        <w:spacing w:after="0" w:line="157"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While vaccines for COVID-19 are being, and have been, developed, approved and distributed, there is no guarantee that any such vaccine will be entirely effective, work as expected or will be accepted on a significant scale.</w:t>
      </w:r>
    </w:p>
    <w:p>
      <w:pPr>
        <w:spacing w:after="0" w:line="143" w:lineRule="exact"/>
        <w:rPr>
          <w:rFonts w:ascii="Arial" w:cs="Arial" w:eastAsia="Arial" w:hAnsi="Arial"/>
          <w:sz w:val="18"/>
          <w:szCs w:val="18"/>
          <w:color w:val="auto"/>
        </w:rPr>
      </w:pPr>
    </w:p>
    <w:p>
      <w:pPr>
        <w:jc w:val="both"/>
        <w:ind w:left="328" w:hanging="328"/>
        <w:spacing w:after="0" w:line="256"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147"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152"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continue to be materially affected by the impact of the pandemic on general economic conditions, including the unemployment rate and the availability of credit for mortgage loans. In addition, public and private sector initiatives to reduce the transmission of COVID-19, such as the imposition of restrictions on business activities, may continue to affect the number of new mortgages available for us to insure as real estate markets confront challenges in the mortgage origination and home sale process created by social distancing and other measures.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40" w:right="339" w:bottom="1440" w:gutter="0" w:footer="0" w:header="0"/>
        </w:sectPr>
      </w:pPr>
    </w:p>
    <w:bookmarkStart w:id="27" w:name="page28"/>
    <w:bookmarkEnd w:id="27"/>
    <w:p>
      <w:pPr>
        <w:spacing w:after="0" w:line="157" w:lineRule="exact"/>
        <w:rPr>
          <w:sz w:val="20"/>
          <w:szCs w:val="20"/>
          <w:color w:val="auto"/>
        </w:rPr>
      </w:pPr>
    </w:p>
    <w:p>
      <w:pPr>
        <w:jc w:val="both"/>
        <w:ind w:left="660" w:hanging="328"/>
        <w:spacing w:after="0" w:line="25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cures for loan defaults resulting from the pandemic are emerging more slowly than we had previously experienced in the context of other FEMA-declared emergencies due to extended forbearance programs. While we continue to expect forbearance programs to benefit ultimate cure rates, this emergence may result in ultimate cure rates below our expectations. Consequently, the ultimate claim rate may be higher than our expectations.</w:t>
      </w:r>
    </w:p>
    <w:p>
      <w:pPr>
        <w:spacing w:after="0" w:line="15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Ultimately, the impact of COVID-19 on our business will depend on, among other things: the extent and duration of the pandemic, the severity of the disease and the number of people infected with the virus and effectiveness and availability of vaccines; the willingness of people to be vaccinated; the resurgence of cases of the disease and the reimposition of restrictions designed to curb its spread; the effects on the economy of the pandemic and of the measures taken by governmental authorities and other third parties restricting day-to-day life and the length of time that such measures remain in place;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harm to our business if they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 operations and financial condition and our estimates or predictions regarding such impact may be materially wrong.</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furtherance of Fannie Mae and Freddie Mac’s respective charter requirements, each GSE adopted PMIERs effective December 31, 2015. On September 27, 2018, the GSEs issued a revised version of the PMIERs, which became effective March 31, 2019. 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FHFA as and after they are implemented; (ii) 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2"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We anticipate that the GSEs may take further action in the event COVID-19 hardships continue through 2021. If the temporary provisions of the PMIERs Amendment are not extended to include new delinquencies occurring on or after April 1, 2021, or borrower forbearance plans are not extended beyond eighteen months, it could have a material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GMICO to maintain a maximum statutory RTC ratio of 18:1 or they reserve the right to reevaluate the amount of PMIERs credit for reinsurance and other CRT transactions available under PMIERs indicated in their approval letters. There can be no assurance we will continue to meet the conditions contained in the GSE letters approving credit for reinsurance and other CRT transactions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June 30, 2021, paying any dividends, pledging or transferring assets to an affiliate. PMIERs’ prior approval requirements could prohibit, materially modify or delay us in our intended course of action. For example, in connection with the AXA Settlement (as defined herein), our Parent has pledged 19.9% of our common stock held by GHI to secure the Promissory Note (as defined herein). If our Parent defaulted on its covenants or other obligations under the Promissory Note (as defined herein) and AXA S.A. (“AXA”) desired to foreclose on such pledge, in addition to AXA obtaining NCDOI approval for the transfer, we would need to obtain GSE approval prior to the transfer of any shares under the Promissory Note (as defined herein). See “Risks Relating to Our Continuing Relationship with Our Parent—Our Parent’s indebtedness and potential liquidity constraints may negatively affect us” and “Risks Relating to Our Continuing Relationship with Our Parent—The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September 2020, subsequent to the issuance of our $750 million aggregate principal amount of Senior Notes due 2025 (the “2025 Senior Notes”), the GSEs imposed certain restrictions (the “GSE Restrictions”) with respect to capital on our business. These restrictions will remain in effect until the later of six quarters or until the following collective conditions (the “GSE Conditions”) are met: (i) approval of GMICO’s plan to secure additional capital, if needed, (ii) GMICO obtains “BBB+”/“Baa1” (or higher)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Standard &amp; Poor’s Financial Services, LLC (“Standard &amp; Poor’s”), Moody’s Investor Service, Inc. (“Moody’s”) or Fitch Ratings, Inc. (“Fitch”) for two consecutive quarters and (iii)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(b) the Company to retain $ 300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In addition, GMICO is not permitted to make any dividend payments, capital withdrawals or changes to capital deployments that would cause the PMIERs Minimum Required Assets to fall below the percentages set forth in clause (a) above. We distributed $437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Genworth Mortgage Insurance Australia Limited (“GMA”), which resulted in a mandatory payment of approximately £ 178 million under the Promissory Note (as defined herein) entered into in connection with the AXA Settlement, leaving a balance owed of approximately £247 million ($338 million), which is subject to increase. See "—Our Parent's indebtedness and potential liquidity constraints may negatively affect us." Until the GSE Conditions are met, GMHI’s liquidity must not fall below 13.5% of its outstanding debt. The GSE Restrictions will remain effective until the later of six quarters or until the GSE Conditions are met.</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the GSEs issued separate conditions and restrictions in September 2020 in connection with their re-approval of the China Oceanwide transaction, which place identical restrictions on our business, if the proposed China Oceanwide transaction closes (the “Oceanwide Restrictions”). Specifically, the Oceanwide Restrictions must remain in effect until the later of: (i) six quarters after the China Oceanwide transaction closes, (ii) the conditions in our Parent’s mitigation agreement with the Committee on Foreign Investment in the United States (“CFIUS”) are met and certified, or (iii) until the GSE Conditions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Because this transaction has not closed, our Parent and China Oceanwide would need to re-engage with the GSEs to determine whether the transaction could proceed under the prior re-approval. We are uncertain what, if any, new requirements, conditions or restrictions might be imposed on our business in connection with a re-approval from the GSEs.</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deteriorations in economic conditions, including as a result of COVID-19, across the United States or in specific regional economies, generally increase the likelihood of borrower defaults and can also adversely affect housing values, which increases our risk of loss. See “—The COVID-19 pandemic has adversely impacted our business, and its ultimate impact on our business and financial results will depend on future developments,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increasing the likelihood of a default followed by a claim if borrowers experience a job loss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amount of the loss we could suffer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These economic slowdowns and the resulting impact on the housing market drove high levels of delinquencies. Mortgage forbearance programs and any delays in foreclosure processes, including foreclosure moratoriums imposed by state and local governments due to COVID-19, could cause our losses to increase as expenses accrue for longer periods or if the value of foreclosed homes further decline during such delays. If we experience an increase in the number or the cost of delinquencies that are higher than expected, our business, results of operations and financial condition could be adversely affected.</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U.S.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servicers.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had established loss reserves and reported losses incurred for 44,904 primary loans in our delinquency inventory. This significant increase in loss reserves as compared to pre-COVID time periods was driven mostly by higher new delinquencies from borrower forbearance due to COVID-19. We expect a large portion of these delinquencies to cure; however, reserves recorded related to borrower forbearance rely on a high degree of estimation and assumptions that lack comparable historic data. Therefore, it is possible we could have higher contractual obligations related to these loss reserves if they do not cure as we expect. We expect that delinquencies will remain volatile and could increase or decrease depending on the level of economic recovery from COVID-19, including as a result of the continued elevated level of unemployment associated with changes in consumer behavior and initiatives intended to reduce the transmission of COVID-19. As a result, we expect our losses incurred and loss reserves to be volatile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Operations—Liquidity and Capital Resources” and “Management’s Discussion and Analysis of Financial Condition and Results of Operations—New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Depending upon the degree to which we undertake or match such pricing practices, there may be a material adverse impact on our business, results of operations and financial condition.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2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mortgage insurers, including us</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either Fannie Mae or Freddie Mac could materially reduce the number of mortgages they purchase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on January 14, 2021, the FHFA and the Treasury Department agreed to amend the Preferred Stock Purchase Agreements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Under these PSPA amendments, the FHFA and the Treasury Department have agreed not to seek to terminate the GSEs from conservatorship unless, following the resolution of all litigation pending in connection with the conservatorship or the Treasury Department’s net worth sweep, the GSEs maintain a specified level of common equity tier 1 capital. While we do not expect that such restrictions will impact the GSEs’ origination volume or our mortgage insurance business, other modifications to the PSPAs or a consent order that may place continuing restrictions on the GSEs post conservatorship remain possible. Also on January 14, 2021, the Treasury Department released a Blueprint on Next Steps for GSE Reform that generally reiterated its commitment to the goals in the Housing Reform Plan and to pursue additional reforms to facilitate an exit from conservatorship, including (i) building sufficient equity capital to facilitate the GSEs’ ability to operate through a severe downturn, (ii) determining the optimal GSE capital structure, (iii) setting a commitment fee for ongoing support post-conservatorship, (iv) establishing appropriate pricing oversight and (v) reducing the market concentration of the GSEs.</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part of the process to potentially end the conservatorships of the GSEs, on December 17, 2020, the FHFA promulgated a final rule imposing a new capital framework on the GSEs, including risk-based and leverage capital requirements and capital buffers in excess of regulatory minimums that can be drawn down in periods of financial stress (the “Enterprise Capital Framework”).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prescribed capital conservation buffer amount (“PCCBA”) and a prescribed leverage buffer amount (“PLBA”), is required on the later of (i) the date of termination of the conservatorship of a GSE and (ii) any later compliance date provided in a consent order or other transition order applicable to such GSE. FHFA contemplates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 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mortgage insurance, which could adversely impact our business. Additionally, the Supreme Court of the United States heard challenges on December 9, 2020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adoption of any GSE reform, whether through legislation or administrative action,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 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 products evolve in a manner that displaces primary mortgage insurance coverage, the amount of insurance we write may be reduced. It is difficult to predict the impact of alternative CRT products, if any, that are developed to meet the goals established by the FHFA. In addition, the Enterprise Capital Framework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12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144" w:lineRule="exact"/>
        <w:rPr>
          <w:sz w:val="20"/>
          <w:szCs w:val="20"/>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rather than a private mortgage insurer; and</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instead of private mortgage insurance, to transfer credit risk on mortgages.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reliance on customer relationships could cause us to lose significant sales if one or more of those relationships terminate or are reduced.</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depends on our relationships with our customers, including relationships with large lending customers. Our largest customer accounted for 12% of our total NIW during 2020 and our top five customers generated 28% of our NIW during 2020.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reputation and ratings could be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issues affecting our Parent in a way that could materially and adversely affect our business, financial condition, liquidity and prospects.”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 Changes in our ability to attract and retain a diverse customer base, and avoid undue concentration by geographic region, customer or product type may adversely affect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8"/>
          <w:szCs w:val="18"/>
          <w:i w:val="1"/>
          <w:iCs w:val="1"/>
          <w:color w:val="auto"/>
        </w:rPr>
        <w:t>.</w:t>
      </w:r>
      <w:r>
        <w:rPr>
          <w:rFonts w:ascii="Arial" w:cs="Arial" w:eastAsia="Arial" w:hAnsi="Arial"/>
          <w:sz w:val="18"/>
          <w:szCs w:val="18"/>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 protect us against losses” and “—Defaults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extent of the benefits we realize from loss mitigation actions or programs in the future may be limited compared to years past.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On September 30, 2020, GMICO entered into the COVID-19 Master Policy Alternatives, Extensions and Flexibilities Agreements with the GSEs (collectively, the “Master Policy Alternatives Agreement”), pursuant to which GMICO agreed to temporarily waive or grant alternatives, extensions and flexibilities around various requirements included in certain policies owned by the GSEs. The Master Policy Alternatives Agreement includes several provisions aimed at avoiding claim denial and cancellation of coverage resulting from the COVID-19 pandemic. See “Regulation—Agency Qualification Requirements.” 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Declining interest rates historically have increased the rate at which borrowers refinance their existing mortgages, thereby resulting in cancellations of the mortgage insurance covering existing loans. Declining interest rates have also contributed to home price appreciation, which may provide borrowers with the option of cancelling mortgage insurance coverage earlier than we anticipated when we priced that coverage. In addition, during 2020, as a result of the low interest rate environment, our business experienced a decline in primary persistency rates. For example, our primary persistency rate was 59% for the year ended December 31, 2020, compared to 76% for the year ended December 31, 2019. Lower primary persistency rates result in reduced IIF and earned premiums, which could have a significant adverse impact on our results of operations. The impact of COVID-19 on our business is difficult to predict and will depend on a variety of factors, such as the duration of the pandemic and the shape of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recovery among other mitigation actions; however, it is possible that the effects of COVID-19 could have a material adverse effect on our business, results of operations and financial condition. See “Management’s Discussion and Analysis of Financial Condition and Results of Operations— Trends and Conditions” and “Management’s Discussion and Analysis of Financial Condition and Results of Operations— Results of Operations and Key Metrics—Key Metrics.”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homeowners with insured loans that have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our Parent may need to obtain consent from AXA for our Parent or us, as applicable, to retain any funds raised to meet our capital needs above certain thresholds during the term of the Promissory Note (as defined herein), and absent any such consent our Parent may be required to pay all or a portion of such funds raised over to AXA or may not be able to raise such funds at all.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met the PMIERs financial and operational requirements, based in part on our entry into a series of CRT transactions. As of December 31, 2020, we had available assets of $4,588 million against $3,359 million net required assets under PMIERs, compared to available assets of $3,811 million against $2,754 million net required assets as of December 31, 2019. The estimated sufficiency above the published PMIERS financial requirements as of December 31, 2020 was $1,229 million or 137%, compared to $ 1,057 million above the published PMIERs requirements as of December 31, 2019, resulting in a PMIERs sufficiency ratio of 137% and 138% as of December 31, 2020 and 2019,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Factors—Risks Relating to Our Business— If we are unable to continue to meet the requirements mandated by PMIERs, the GSE Restrictions and any additional restrictions imposed on us by the GSEs, whether because the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 On June 29, 2020, the GSEs released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See “Regulation—Agency Qualification Requirements.” In order to continue to provide a prudent level of financial flexibility in connection with the current PMIERs capital requirements, and given the dynamic nature of asset and liability valuations, requirement changes over time, and recent conditions and restrictions imposed on us by the GSEs, we may be required to execute future capital transactions, including additional CRT transactions and other transactions with third parties to provide additional capital.</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order to preserve certain tax benefits it obtains from consolidation, our Parent is expected to hold at least 80% of our common stock. Thus, our ability to raise additional capital by issuing stock to third parties will be limited. See “Risks Relating to Taxation—Our Parent is expected to retain at least 80% ownership of our common stock to preserve the value of our Parent’s future expected tax losses, which will limit our ability to raise additional capital by issuing common stock to third parties.”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 -19. For example, CRT transactions have been more costly to obtain following the economic downturn caused by COVID-19. In particular, the market uncertainty caused by COVID-19 has resulted in higher prices for our MILN and XOL reinsurance transactions. Accordingly, we incurred higher expenses associated with CRT transactions during 2020 for a variety of reasons, including COVID-19 and may be unable to obtain new transactions on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terms, or at all in the future. Absent the availability and affordability to enter into new CRT transactions, our ability to obtain PMIERs or statutory credit for new transactions could be adversely impacted or could require us to make capital contributions to maintain regulatory capital requirements.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The current PMIERs do not include a specific ratings requirement with respect to eligibility, but if this were to change in the future, we may become subject to a ratings requirement in order to retain our eligibility status under PMIERs.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Currently, we have financial strength ratings below our competitors. Moreover, on May 15, 2020, Standard &amp; Poor’s changed the outlook for our principal insurance subsidiary, GMICO, from Creditwatch Developing to Creditwatch Negative. Any assigned financial strength rating that remains below our peers or a further downgrade in our financial strength ratings, or the announcement of a potential downgrade could hinder our competitiveness in the marketplace and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reputation and ratings could be affected by issues affecting our Parent in a way that could materially and adversely affect our business, financial condition, liquidity and prospects.”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 increase or decrease depending on a variety of factors, most of which are outside of our control, including, but not limited to, the following:</w:t>
      </w:r>
    </w:p>
    <w:p>
      <w:pPr>
        <w:spacing w:after="0" w:line="151" w:lineRule="exact"/>
        <w:rPr>
          <w:sz w:val="20"/>
          <w:szCs w:val="20"/>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compete with the FHA and the United States Department of Veteran Affairs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Dodd-Frank Act established the Consumer Financial Protection Bureau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5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two final rules (i) one rule amending the QM Rule (the QM Rule, as amended, the “Amended QM Rule”) and (ii) one rule adding a “seasoning” approach to the QM “safe harbor”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a qualified residential mortgage (“QRM”).</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 and “Regulation—Other Federal Regulation—Regulation of Mortgage Origination—QRM Rule.”</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financial statements are subject to the application of U.S.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we may be unable to implement new accounting guidance or other proposals by the adoption date which would materially adversely impact our business. Furthermore, the required adoption of future accounting and reporting standards could require us to make significant changes to systems and use additional resources, which may result in significant costs.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Furthermore, as the future of work evolves and work arrangements such as a remote work environment become more flexible and commonplace, our ability to compete for qualified employees could be further challenged. A remote work environment could expand competition among employers and may put us at a disadvantage if we are unable or unwilling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implement certain of these policies.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these employees will continue to be available to us.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increase.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enter into agreements with our customers that commit us to insure loans made by them using our pre-established guidelines for delegated underwriting. Delegated underwriting represented 66% and 64% of our total NIW by loan count for the years ended December 31, 2020 and 2019,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 underwriting. See “Business—Underwriting.”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 Payment Loan originations include, but are not limited to:</w:t>
      </w:r>
    </w:p>
    <w:p>
      <w:pPr>
        <w:spacing w:after="0" w:line="171" w:lineRule="exact"/>
        <w:rPr>
          <w:sz w:val="20"/>
          <w:szCs w:val="20"/>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significant percentage of the premiums we earn each year are renewal premiums from mortgage insurance coverage written in previous years. We estimate that approximately 85% of our gross premiums earned for the year ended December 31, 2020 were renewal premiums compared to approximately 88% for both of the years ended December 31, 2019 and 2018.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157" w:lineRule="exact"/>
        <w:rPr>
          <w:sz w:val="20"/>
          <w:szCs w:val="20"/>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customer concentration levels with certain customers that actively market refinancing opportunities to their existing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persistency rates on primary mortgage insurance were 59%, 76% and 82% for years ended December 31, 2020, 2019 and 2018, respectively. The decrease in our persistency rate in 2020 was largely as a result of the low interest rate environment precipitated by the economic impacts of the COVID-19 pandemic. A decrease in persistency generally would reduce the amount of our IIF and could 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in the future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Furthermore, if a significant number of our employees were unavailable in the event of a disaster or a pandemic, our ability to effectively conduct business could be severely compromised. The failure of our disaster recovery systems and business continuity plans could adversely impact our profitability and our business.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exposed to various risks arising out of natural disasters, large-scale public health emergencies and man-made disasters, including earthquakes, hurricanes, floods and tornadoes, acts of terrorism, military actions and pandemics, similar to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 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From time to time, we may become subject to various legal and regulatory proceedings related to our business. Litigation and regulatory proceedings may result in financial losses and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Nasdaq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will be required, among other things, to:</w:t>
      </w:r>
    </w:p>
    <w:p>
      <w:pPr>
        <w:spacing w:after="0" w:line="157"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the listing requirements and rules of the Nasdaq;</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Parent or certain of our Parent’s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parties under which we receive services as an affiliate of our Parent may be more favorable than we will be able to obtain from a third party on our own.”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historical consolidated financial data included in this prospectus is for GMHI and its subsidiaries. Prior to the completion of this offering, GMHI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 periods presented, or those we will achieve in the future. Significant increases may occur in our cost structure as a result of this offering, including costs related to public company reporting and investor relations. As a result of these matters, among others, it may be difficult for investors to compare our future results to historical results or to evaluate our relative performance or trends in our business.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obligations under our indebtedness.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 significant amount of indebtedness. As of December 31, 2020, we had $750 million of debt outstanding. Our substantial indebtedness could have important consequences. For example, it could:</w:t>
      </w:r>
    </w:p>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14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increased use by the private mortgage insurance industry of risk-based pricing systems that establish premium rates based on more attributes than previously considered may result in increased state and/or federal scrutiny of premium rates. The increased use of algorithms, artificial intelligence and data and analytics in the mortgage insurance industry may also lead to additional regulatory scrutiny related to other matters such as discrimination in pricing and underwriting, data privacy and access to insurance.</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required by certain states and other regulators to maintain certain RTC ratios. In addition,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December 31, 2020 and December 31, 2019, our combined RTC ratio was approximately 12.1:1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12.2:1, respectively. Should we exceed required RTC levels in the future,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MGIWG is also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including a potential 25 basis point reduction,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on December 17, 2020, the FHFA promulgated the Enterprise Capital Framework, which imposes a new capital framework on the GSEs, including risk-based and leverage capital requirement and capital buffers in excess of regulatory minimums that can be drawn down in periods of financial distress. The Enterprise Capital Framework became effective on February 16, 2021. However, the GSEs will not be subject to any requirement under the Enterprise Capital Framework until the applicable compliance date. Compliance with the Enterprise Capital Framework, other than the requirements to maintain a PCCBA and a PLBA, is required on the later of (i) the date of termination of the conservatorship of a GSE and (ii) any later compliance date provided in a consent order or other transition order applicable to such GSE. FHFA contemplates that the compliance dates for the PCCBA and the PLBA will be the date of termination of the conservatorship of a GSE. The Enterprise Capital Framework’s advanced approaches requirements will be delayed until the later of (i) January 1, 2025 and (ii) any later compliance date provided by a transition order applicable to such GSE. The Enterprise Capital Framework significantly increases capital requirements and reduces capital credit on CRT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transactions as compared to the previous framework. The final rule could cause the GSEs to increase their guarantee pricing in order to meet the new capital requirements. If the GSEs increase their guarantee pricing in order to meet the higher capital requirements, that increase could have a negative impact on the private mortgage insurance market and our business. Furthermore, higher GSE capital requirements could ultimately lead to increased costs to borrowers for GSE loans, which in turn could shift the market away from the GSEs to the FHA or lender portfolios. Such a shift could result in a smaller market size for private mortgage insurance. This rule could also accelerate the recent diversification of the GSE’s risk transfer programs to encompass a broader array of instruments beyond private for mortgage insurance, which could adversely impact our business.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 could discourage the use of mortgage insurance in the United States. See “—The implementation of the Basel III may discourage the use of mortgage insurance.”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 will be able to exert significant influence over us and our corporate decisions.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terms of the master agreement that we intend to enter into with our Parent in connection with this offering (the “Master Agreement”), our Parent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 and Related Party Transactions—Relationship with Our Parent—Master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our Parent will continue to beneficially own at least 80% of our common stock. As a result, our Parent will control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 with our interests or the interests of our other stockholders. This concentration of ownership may also have the effect of delaying, preventing or deterring a change in control of us. Also, our Parent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perceive disadvantages in owning shares in a company with significant stockholders. See “Principal Stockholder” and “Description of Capital Stock—Anti-Takeover Provisions.”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and for so long as our Parent continues to beneficially own 50% or more of our outstanding common stock, our Parent will have the right to nominate the majority of our directors. Certain of these directors may also be officers or employees of our Parent or certain of our Parent’s other 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 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in connection with this offering, we and our Parent and certain of our Parent’s other subsidiaries intend to enter into agreements that will provide a framework for our ongoing relationship, including a Master Agreement, a registration rights agreement, one or more shared services agreements, an intellectual property cross license agreement and a transitional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our Parent’s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1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terms of our arrangements with our Parent may be more favorable than we will be able to obtain from an unaffiliated third party.</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one or more shared services agreements with our Parent or certain of our Parent’s other subsidiaries that provides us continued access to certain of these services. We negotiated these arrangements with our Parent or certain of our Parent’s other subsidiaries in the context of a parent-subsidiary relationship. We cannot assure you that following the completion of this offering, these services will be sustained at the same levels or that we would be able to replace such services in a timely manner or on comparable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this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 Relationship with Our Parent—Shared Services Agreements.”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reputation and ratings could be affected by issues affecting our Parent in a way that could materially and adversely affect our business, financial condition, liquidity and prospects.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After this offering, we will remain a part of our Parent’s family of businesses. Therefore, our customers, third-party service providers, credit providers and other persons may continue to associate us with our Parent’s reputation and services, as well as its capital base and financial strength. Our Parent has substantial leverage and depends on us as a source of liquidity. See “—Our Parent’s indebtedness and potential liquidity constraints may negatively affect us” and “—The AXA Settlement may negatively affect our ability to finance our business with additional debt, equity or other strategic transactions.”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reducing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addressing its debt maturities and other near-term liabilities and financial obligations, reducing costs, stabilizing its United States life insurance businesses without additional capital contributions, overall capital and ratings), including as a result of:</w:t>
      </w:r>
    </w:p>
    <w:p>
      <w:pPr>
        <w:spacing w:after="0" w:line="154" w:lineRule="exact"/>
        <w:rPr>
          <w:sz w:val="20"/>
          <w:szCs w:val="20"/>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debt issuances, securities offerings or otherwise, in each case as and when required;</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things, becomes subject to litigation or otherwise damages its reputation or business prospects. Any of these events might in turn could adversely affect our business, results of operations and financial condition.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Our Parent as of December 31, 2020 had outstanding holding company indebtedness of $2.7 billion that matures between 2021 and 2066, including approximately $340 million that matured in February 2021 and $659 million that matures in September 2021. Our Parent has been a party to English Court proceedings brought by AXA since December 2017 (case title: </w:t>
      </w:r>
      <w:r>
        <w:rPr>
          <w:rFonts w:ascii="Arial" w:cs="Arial" w:eastAsia="Arial" w:hAnsi="Arial"/>
          <w:sz w:val="18"/>
          <w:szCs w:val="18"/>
          <w:i w:val="1"/>
          <w:iCs w:val="1"/>
          <w:color w:val="auto"/>
        </w:rPr>
        <w:t>AXA S.A. v. Genworth Financial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LLC et. al.</w:t>
      </w:r>
      <w:r>
        <w:rPr>
          <w:rFonts w:ascii="Arial" w:cs="Arial" w:eastAsia="Arial" w:hAnsi="Arial"/>
          <w:sz w:val="18"/>
          <w:szCs w:val="18"/>
          <w:color w:val="auto"/>
        </w:rPr>
        <w:t>). On July 20, 2020, our Parent entered into a settlement agreement with AXA (the “AXA Settlement”) pursuant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agreed, pending satisfaction of certain conditions, not to enforce, appeal or set aside the liability judgment of December 6, 2019 and the subsequently issued damages judgment of July 27, 2020. Prior to the AXA Settlement, our Parent made a £100 million ($134 million) interim payment to AXA in January 2020. As part of the AXA Settlement, our Parent agreed to pay an initial further amount of £100 million ($125 million) to AXA, which was duly paid on July 21, 2020, and a significant portion of future claims that are still being processed.</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secured promissory note (as amended, the “Promissory Note”) was issued to AXA, under which our Parent agreed to make, subject to certain mandatory prepayment obligations, two deferred cash payments, totaling approximately £317 million: a payment in June 2022 (the “June 2022 Payment”) and a payment in September 2022 (the “September 2022 Payment”). The Promissory Note also contains certain negative and affirmative covenants, representations and warranties and customary events of default. Future claims that are still being processed, which are currently estimated to be approximately £44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Unless an event of default has occurred under the Promissory Note, AXA does not have the right to sell or repledge the collateral, and the security interest does not entitle AXA to voting rights. The collateral will be fully released upon full repayment of the Promissory Note and may be partially released under certain circumstances upon certain prepayments. Accordingly, the collateral arrangement has no impact on our consolidated financial statements. See “—The AXA Settlement may negatively affect our ability to finance our business with additional debt, equity or other strategic transactions” and “—Our reputation and ratings could be affected by issues affecting our Parent in a way that could materially and adversely affect our business, financial condition, liquidity and prospects.”</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March 2021, our Parent sold all of its common shares in GMA, which resulted in a mandatory payment of approximately £178 million under the Promissory Note entered into in connection with the AXA Settlement, leaving a balance owed of approximately £247 million ($338 million), which is subject to increase. This payment (the “March 2021 Mandatory Payment”) fully satisfied the June 2022 Payment obligation and was also used to make a partial prepayment of the September 2022 Payment. In connection with such sale, the liens that previously secured the obligations under the Promissory Note on such common shares of GMA were released and, as a result, the liens on our common shares now represent the primary collateral securing the obligations under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its annual financial reporting for the year ended December 31, 2020, our Parent disclosed that certain conditions and events occurring and expected to occur raise doubt about its ability to meet its financial obligations for the succeeding year. Our Parent’s obligations during the succeeding year include (i) an approximately $53 million payment relating to the AXA Settlement, consisting of interest on the Promissory Note, assuming no pre-payments are made, and a one-time payment on an unrelated liability, (ii) approximately $659 million of its senior notes due in September 2021 (excluding deferred amounts) and (iii) interest payments on its outstanding public notes.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our Parent disclosed it had unrestricted cash and cash equivalents balance of $ 1,032 million and indicated that it did not expect to receive dividends from its subsidiaries as a source of liquidity during 2021. However, our Parent stated its belief that management’s plans alleviated this doubt. During the quarter ended September 30, 2020, we successfully executed the offering of our 2025 Senior Notes. In addition, such plans include this initial public offering and certain other potential transactions including, for example, the issuance of convertible, equity-linked securities. Our Parent is relying on, among other things, the previously-declared dividend payable to GHI to be funded with the proceeds of this initial public offering to satisfy its obligations as they become due.</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See “—Use of Proceeds.” In addition to the contractual obligations due within one year described above, our Parent also has, among other obligations,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“—Our reputation and ratings could be affected by issues affecting our Parent in a way that could materially and adversely affect our business, financial condition, liquidity and prospects.”</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AXA Settlement may negatively affect our ability to finance our business with additional debt, equity or other strategic transactions.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AXA Settlement, our Parent entered into the Promissory Note with an initial aggregate principal amount of approximately £425 million ($581 million), which is secured by a 19.9% interest in our common stock. The collateral will be fully released upon full repayment of the Promissory Note and may be partially released under certain circumstances upon certain payments. The Promissory Note is due in two deferred cash payments, totaling approximately £317 million: the June 2022 Payment and the September 2022 Payment. After applying the March 2021 Mandatory Payment, our Parent owes approximately £247 million ($ 338 million) to AXA, which is subject to increase. See "—Our Parent's indebtedness and potential liquidity constraints may negatively affect us." The Promissory Note remains subject to various mandatory prepayment provisions including, with certain exceptions, for future debt and equity financings and certain types of asset sales and other strategic transactions. While the Promissory Note is outstanding, these prepayment provisions, as well as other covenants and restrictions imposed on us may make it practically difficult for us to finance our operations and the operations of our subsidiaries with future debt or equity offerings, certain types of asset sales or other strategic transactions that may be potential sources of funding. To the extent we need funding to finance our operations or the operations of our subsidiaries or to satisfy other liquidity needs, there can be no assurance that we will be able to generate additional funding on favorable terms or at all. Such inability to finance our business could have a material adverse effect on our business, results of operations, financial condition, liquidity and prospects. See “—Our Parent’s indebtedness and potential liquidity constraints may negatively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flows, results of operations or financial condition.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Tax Allocation Agreement.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Parent’s continued ownership of 80% of our common stock may limit our ability to raise additional capital by issuing common stock to third parties.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a member of the Genworth Consolidated Group and will continue to be a member following the offering. As a consequence, we will pay our Parent our share of the consolidated income tax liability when we have taxable income or receive benefit for losses we contribute and which are utilized to the Genworth Consolidated Group. See “Certain Relationships and Related Party Transactions —Other Related Party Transactions—Tax Allocation Agreement.”</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and certain of its non-insurance subsidiaries expect to incur material federal income tax deductions in the future, primarily related to interest expense on third-party debt and expenses in respect of stewardship with respect to the enterprise and subsidiary operations. If we were to cease to be a member of the Genworth Consolidated Group, our income could no longer offset tax losses of other members of the Genworth Consolidated Group, and the Genworth Consolidated Group may not have sufficient taxable income from other operations to fully absorb the anticipated tax deductions of our Parent and its non-insurance subsidiaries, reducing the value of such tax deductions to our Parent. Given that our Parent expects to incur federal income tax deductions for the foreseeable future, our Parent may find it beneficial to retain at least 80% ownership of our common stock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condition to us remaining a member of the Genworth Consolidated Group, our Parent generally must continue to own an amount of our stock which possesses at least 80% of the total voting power of our stock, and has a value at least equal to 80% of the total value of our stock. For these purposes, the term “stock” does not include any stock that (i) is not entitled to vote; (ii) is limited and preferred as to dividends and does not participate in corporate growth to any significant extent; (iii) has redemption and liquidation rights which do not exceed the issue price of such stock (except for a reasonable redemption or liquidation premium) and (iv) is not convertible into another class of stock. Accordingly, while we will have the ability to raise additional capital through certain preferred stock or other means, we will be limited in our ability to raise additional capital by issuing common stock to third parties without leaving our Parent’s consolidated group, which our Parent may not permit. We may also be limited pursuant to restrictions imposed by insurance regulators, GSEs and any limitations under intercompany agreements. This limitation on our ability to raise additional capital through the issuance of common stock could have a material adverse impact on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leave the Genworth Consolidated Group, we may be required to make payments under the Tax Allocation Agreement and may be required to pay more income tax in the future.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currently a member of the Genworth Consolidated Group, and expect to continue to be a member as long as our Parent continues to own an amount of our stock which possesses at least 80% of the total voting power of our stock, and has a value at least equal to 80% of the total value of our stock. See “—Our Parent’s continued ownership of 80% of our common stock may limit our ability to raise additional capital by issuing common stock to third parties”. Our Parent may cease to own such amount of stock in the future for a number of reasons, including by reason of a foreclosure by AXA upon the shares of our common stock pledged by our Parent under the Promissory Note. In that event, we would cease to be a member of the Genworth Consolidated Group.</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event we were to cease being a member of the Genworth Consolidated Group, we may be required to make a payment to our Parent in respect of tax benefits for which we received credit under the Tax Allocation Agreement but which had not been utilized by the Genworth Consolidated Group at such time. In addition, the tax consequences of any transaction between us and other members of the Genworth Consolidated Group which were deferred under the consolidated return rules would likely be triggered, which could require us to make additional payments under the Tax Allocation Agreement. See “—Related Party Transactions—Other Related Party Transactions—Tax Allocation Agreement”.</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the event we were to cease being a member of the Genworth Consolidated Group, we and our Parent would be subject to the application of the “unified loss rules”, which may require us to pay more income tax in the future. Subject to certain exceptions, if our Parent has higher tax basis in our shares than the fair market value of our shares at the time we left the Genworth Consolidated Group, these rules could require us to reduce certain of our tax attributes, including the tax basis in our assets. If such reduction occurred, we could be required to pay more income tax in the future. Our Parent could, at such time, elect to reduce its tax basis in our shares at such time to prevent such attribute reduction, although our Parent has not committed to do so.</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this time, we do not expect that the unified loss rules would cause a material reduction in the tax basis of our assets if we were to depart the Genworth Consolidated Group. The application of the unified loss rules are complex, however, and will depend upon a number of factual determinations that must be made at the time of such departure. Accordingly, no guarantee can be given that we would not be required to pay more income tax as a result of the application of the unified loss rules upon a deconsolidation. Such increased tax obligations could have a material adverse impact on our business, results of operations and financial condition.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application of the unified loss rules to this offering specifically is discussed below, under “—Related Party Transactions— Relationship with Our Parent—Master Agreement—Tax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payment of dividends and other distributions by our insurance subsidiaries is dependent on, among other things, their financial condition and operating performance, capital preservation as a result of the uncertainty regarding the impact of COVID-19, corporate law restrictions, insurance laws and regulations and maintaining adequate capital to meet the requirements mandated by PMIERs, including recent restrictions imposed by the GSEs on our business.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including expense reimbursements)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June 30, 2021 before paying any dividends, pledging or transferring assets to an affiliate or entering into any new, or altering any existing, arrangements under tax sharing and intercompany expense-sharing arrangements. See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future dividends to us as anticipated. The evaluation of future dividend sources and our overall liquidity plans are subject to current and future market conditions and the economic recovery from COVID-19, among other factors, which are subject to change.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15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impacting the GSEs and the FHA;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 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our financial statements in conformity with U.S. GAAP requires management to make estimates and assumptions that affect the amounts reported in our consolidated financial statements and accompanying notes. We base our estimates on historical experience and on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may cause the market price of our common stock to decline. Upon completion of this offering, we will have outstanding shares of common stock, of which our Parent will beneficially own approximately % (approximately % if the underwriters exercise in full their option to purchase additional shares). All of the shares sold pursuant to this offering will be immediately tradable without restriction under the Securities Act, unless held by “affiliates,” as that term is defined in Rule 144 under the Securities Act. Of the remaining shares of common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 shares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Goldman Sachs &amp; Co. LLC and J.P. Morgan Securities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15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Morgan Securities LLC. Following the expiration of this 180-day lock-up period,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 of Rule 144. As resale restrictions end, the market price of our common stock could decline if the holders of those shares sell them or are perceived by the market as intending to sell them. In addition, our Parent, which holds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shares, or % of our outstanding common stock following this offering (approximately % if the underwriters exercise in full their option to purchase additional shares),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 outstanding common stock, from taking action by written consent. See “Description of Capital Stock—Anti-Takeover Provisions.”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rules and we will qualify for exemptions from certain corporate governance requirements.</w:t>
      </w:r>
    </w:p>
    <w:p>
      <w:pPr>
        <w:spacing w:after="0" w:line="121" w:lineRule="exact"/>
        <w:rPr>
          <w:sz w:val="20"/>
          <w:szCs w:val="20"/>
          <w:color w:val="auto"/>
        </w:rPr>
      </w:pPr>
    </w:p>
    <w:p>
      <w:pPr>
        <w:ind w:left="340"/>
        <w:spacing w:after="0"/>
        <w:tabs>
          <w:tab w:leader="none" w:pos="7100" w:val="left"/>
        </w:tabs>
        <w:rPr>
          <w:sz w:val="20"/>
          <w:szCs w:val="20"/>
          <w:color w:val="auto"/>
        </w:rPr>
      </w:pPr>
      <w:r>
        <w:rPr>
          <w:rFonts w:ascii="Arial" w:cs="Arial" w:eastAsia="Arial" w:hAnsi="Arial"/>
          <w:sz w:val="18"/>
          <w:szCs w:val="18"/>
          <w:color w:val="auto"/>
        </w:rPr>
        <w:t>Upon the completion of this offering, our Parent will beneficially own approximately</w:t>
        <w:tab/>
        <w:t>% of our outstanding common stock (approximately</w:t>
      </w:r>
    </w:p>
    <w:p>
      <w:pPr>
        <w:spacing w:after="0" w:line="9" w:lineRule="exact"/>
        <w:rPr>
          <w:sz w:val="20"/>
          <w:szCs w:val="20"/>
          <w:color w:val="auto"/>
        </w:rPr>
      </w:pPr>
    </w:p>
    <w:p>
      <w:pPr>
        <w:jc w:val="both"/>
        <w:ind w:firstLine="232"/>
        <w:spacing w:after="0" w:line="253"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underwriters exercise in full their option to purchase additional shares). GHI is our direct parent and is a wholly owned subsidiary of our Parent. Because our Parent will control more than a majority of the total voting power of our common stock following this offering, we will be a “controlled company” within the meaning of the Nasdaq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7" w:lineRule="exact"/>
        <w:rPr>
          <w:sz w:val="20"/>
          <w:szCs w:val="20"/>
          <w:color w:val="auto"/>
        </w:rPr>
      </w:pPr>
    </w:p>
    <w:p>
      <w:pPr>
        <w:jc w:val="both"/>
        <w:ind w:left="660" w:hanging="328"/>
        <w:spacing w:after="0" w:line="25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entirely of independent directors, in either case, with a formal written charter or board resolutions, as applicable, addressing the nominations process and such related matters as may be required under the federal securities laws; and</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do not intend to rely on the exemption to the requirement that a majority of our directors be independent. Upon consummation of this offering, we intend for our board of directors to consist of a majority of independent directors. We, however, intend to elect not to comply with the other requirements set forth above, including the requirement that the compensation committee and nominating and corporate governance committee be composed entirely of independent directors. 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Parent holds less than a majority of our common stock. See “Certain Relationships and Related Party Transactions— Relationship with Our Parent—Master Agreement.” Accordingly, you may not have the same protections afforded to stockholders of companies that are subject to all of the Nasdaq rules regarding corporate governance.</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which could limit our stockholders’ ability to choose the judicial forum for disputes with us or our directors, officers or employees.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Delaware General Corporation Law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(the “Securities Act”). This exclusive forum provision does not preclude or contract the scope of exclusive federal or concurrent jurisdiction for any actions brought under the Securities Act.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adversely impacted from deficiencies in our disclosure controls and procedures or internal control over financial reporting.</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particularly given our current remote work environment and the increased risk that our employees may be unable to properly perform and execute controls.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or restatements in our historical financial statements or untimely filings, which could cause investors to lose confidence in our reported financial information, and a decline in our share price.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At the time of the initial confidential submission of the registration statement of which this prospectus forms a part, we qualified as an “emerging growth company,” as defined in Section 2(a)(19) of the Securities Act, including as modified by the JOBS Act, and expect to remain an emerging growth company until the earliest of (a) the date on which we consummate this offering and (b) the end of the one-year period beginning on the date we ceased to be an emerging growth company.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while we generally must comply with Section 404 of the Sarbanes Oxley Act for our fiscal year ending December 31, 2021, we are not required to have our independent registered public accounting firm attest to the effectiveness of our 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 December 31, 2022. Once it is required to do so, our independent registered public accounting firm may issue a report that is adverse in the event it is not satisfied with the level at which our controls are documented, designed, operated or reviewed. Compliance with these requirements may strain our resources, increase our costs and distract management, and we may be unable to comply with these requirements in a timely or cost-effective manner.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(i) our own internal estimates and research, (ii) 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151" w:lineRule="exact"/>
        <w:rPr>
          <w:sz w:val="20"/>
          <w:szCs w:val="20"/>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meet the requirements mandated by the GSEs and PMIERs, which could change in a way that is adverse to our business, such as the implementation of the Enterprise Capital Framework, which includes higher GSE capital requirements that could ultimately lead to increased costs to borrowers for GSE loans, which in turn could result in a smaller market for private mortgage insurance;</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alternatives to private mortgage insurance or lower coverage levels of mortgage insurance on the amount of insurance we write;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effects to our reputation and ratings due to issues affecting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57"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effectiveness in identifying and adequacy in controlling or mitigating the risks we face through our risk management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ratings agency 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CFPB final rule defining QM;</w:t>
      </w:r>
    </w:p>
    <w:p>
      <w:pPr>
        <w:spacing w:after="0" w:line="171"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the amount of insurance we write as a result of the Dodd-Frank Act’s risk retention requirement or the definition of ARM;</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and reporting standards issued by the FASB or other standard-setting bodies and insurance regulators;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71"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08"/>
          </w:cols>
          <w:pgMar w:left="652" w:top="1440" w:right="339" w:bottom="1440" w:gutter="0" w:footer="0" w:header="0"/>
        </w:sectPr>
      </w:pPr>
    </w:p>
    <w:bookmarkStart w:id="77" w:name="page78"/>
    <w:bookmarkEnd w:id="77"/>
    <w:p>
      <w:pPr>
        <w:spacing w:after="0" w:line="15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reimburse us for expenses attributable to their sale of our common stock. See “Principal and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June 30, 2021, that require an approved insurer to obtain prior written GSE approval before paying any dividends or pledging or transferring assets to an affiliate. Furthermore, prior to the satisfaction of the GSE Conditions, the GSE Restrictions and the Oceanwide Restrictions (if the China Oceanwide transaction closes) both require GMICO to maintain 115% of PMIERs Minimum Required Assets through 2021, 120% during 2022 and 125% thereafter.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Business—We are a holding company, and our only material assets are our equity interests in our subsidiaries. As a consequence, we depend on the ability of our subsidiaries to pay dividends and make other payments and distributions to us and to meet our obligations,”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2020, on an actual basis and an as</w:t>
      </w:r>
    </w:p>
    <w:p>
      <w:pPr>
        <w:spacing w:after="0" w:line="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adjusted basis giving effect to the sale of</w:t>
      </w:r>
      <w:r>
        <w:rPr>
          <w:sz w:val="20"/>
          <w:szCs w:val="20"/>
          <w:color w:val="auto"/>
        </w:rPr>
        <w:tab/>
      </w:r>
      <w:r>
        <w:rPr>
          <w:rFonts w:ascii="Arial" w:cs="Arial" w:eastAsia="Arial" w:hAnsi="Arial"/>
          <w:sz w:val="17"/>
          <w:szCs w:val="17"/>
          <w:color w:val="auto"/>
        </w:rPr>
        <w:t>shares of our common stock in this offering.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As of December 31, 2020</w:t>
            </w:r>
          </w:p>
        </w:tc>
      </w:tr>
      <w:tr>
        <w:trPr>
          <w:trHeight w:val="209"/>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Actual</w:t>
            </w:r>
          </w:p>
        </w:tc>
        <w:tc>
          <w:tcPr>
            <w:tcW w:w="16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1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3"/>
          </w:tcPr>
          <w:p>
            <w:pPr>
              <w:jc w:val="right"/>
              <w:ind w:right="1056"/>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4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452,794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w:t>
            </w:r>
          </w:p>
        </w:tc>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738,162</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92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8"/>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1"/>
        </w:trPr>
        <w:tc>
          <w:tcPr>
            <w:tcW w:w="1100" w:type="dxa"/>
            <w:vAlign w:val="bottom"/>
          </w:tcPr>
          <w:p>
            <w:pPr>
              <w:ind w:left="180"/>
              <w:spacing w:after="0"/>
              <w:rPr>
                <w:sz w:val="20"/>
                <w:szCs w:val="20"/>
                <w:color w:val="auto"/>
              </w:rPr>
            </w:pPr>
            <w:r>
              <w:rPr>
                <w:rFonts w:ascii="Arial" w:cs="Arial" w:eastAsia="Arial" w:hAnsi="Arial"/>
                <w:sz w:val="18"/>
                <w:szCs w:val="18"/>
                <w:color w:val="auto"/>
              </w:rPr>
              <w:t>actual;</w:t>
            </w:r>
          </w:p>
        </w:tc>
        <w:tc>
          <w:tcPr>
            <w:tcW w:w="1920" w:type="dxa"/>
            <w:vAlign w:val="bottom"/>
          </w:tcPr>
          <w:p>
            <w:pPr>
              <w:ind w:left="160"/>
              <w:spacing w:after="0"/>
              <w:rPr>
                <w:sz w:val="20"/>
                <w:szCs w:val="20"/>
                <w:color w:val="auto"/>
              </w:rPr>
            </w:pPr>
            <w:r>
              <w:rPr>
                <w:rFonts w:ascii="Arial" w:cs="Arial" w:eastAsia="Arial" w:hAnsi="Arial"/>
                <w:sz w:val="18"/>
                <w:szCs w:val="18"/>
                <w:color w:val="auto"/>
              </w:rPr>
              <w:t>shares authorized,</w:t>
            </w:r>
          </w:p>
        </w:tc>
        <w:tc>
          <w:tcPr>
            <w:tcW w:w="4940" w:type="dxa"/>
            <w:vAlign w:val="bottom"/>
          </w:tcPr>
          <w:p>
            <w:pPr>
              <w:ind w:left="280"/>
              <w:spacing w:after="0" w:line="241" w:lineRule="exact"/>
              <w:rPr>
                <w:sz w:val="20"/>
                <w:szCs w:val="20"/>
                <w:color w:val="auto"/>
              </w:rPr>
            </w:pPr>
            <w:r>
              <w:rPr>
                <w:rFonts w:ascii="Arial" w:cs="Arial" w:eastAsia="Arial" w:hAnsi="Arial"/>
                <w:sz w:val="18"/>
                <w:szCs w:val="18"/>
                <w:color w:val="auto"/>
              </w:rPr>
              <w:t xml:space="preserve">shares issued and outstanding, as adjusted) </w:t>
            </w:r>
            <w:r>
              <w:rPr>
                <w:rFonts w:ascii="Arial" w:cs="Arial" w:eastAsia="Arial" w:hAnsi="Arial"/>
                <w:sz w:val="23"/>
                <w:szCs w:val="23"/>
                <w:color w:val="auto"/>
                <w:vertAlign w:val="superscript"/>
              </w:rPr>
              <w:t>(1) (2)</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r>
      <w:tr>
        <w:trPr>
          <w:trHeight w:val="229"/>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96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9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r>
      <w:tr>
        <w:trPr>
          <w:trHeight w:val="223"/>
        </w:trPr>
        <w:tc>
          <w:tcPr>
            <w:tcW w:w="1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9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3,881,811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48"/>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4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4,619,973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jc w:val="both"/>
        <w:ind w:left="340" w:hanging="332"/>
        <w:spacing w:after="0" w:line="259"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In connection with the AXA Settlement, our Parent entered into a Promissory Note secured by a 19.9% interest in our common stock. The collateral will be fully released upon full repayment of the Promissory Note and may be partially released under certain circumstances upon certain prepayments. </w:t>
      </w:r>
      <w:r>
        <w:rPr>
          <w:rFonts w:ascii="Arial" w:cs="Arial" w:eastAsia="Arial" w:hAnsi="Arial"/>
          <w:sz w:val="17"/>
          <w:szCs w:val="17"/>
          <w:color w:val="auto"/>
        </w:rPr>
        <w:t>See</w:t>
      </w:r>
      <w:r>
        <w:rPr>
          <w:rFonts w:ascii="Arial" w:cs="Arial" w:eastAsia="Arial" w:hAnsi="Arial"/>
          <w:sz w:val="16"/>
          <w:szCs w:val="16"/>
          <w:color w:val="auto"/>
        </w:rPr>
        <w:t xml:space="preserve"> </w:t>
      </w:r>
      <w:r>
        <w:rPr>
          <w:rFonts w:ascii="Arial" w:cs="Arial" w:eastAsia="Arial" w:hAnsi="Arial"/>
          <w:sz w:val="17"/>
          <w:szCs w:val="17"/>
          <w:color w:val="auto"/>
        </w:rPr>
        <w:t>“Risk Factors—Risks Relating to Our Continuing Relationship with Our Parent—“Our Parent’s indebtedness and potential liquidity constraints may negatively affect us” and “The AXA Settlement may negatively affect our ability to finance our business with additional</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equity or other strategic transactions.”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6"/>
                <w:szCs w:val="16"/>
                <w:color w:val="auto"/>
              </w:rPr>
              <w:t>(2)  Gives effect to the Share Exchange that was effected on</w:t>
            </w:r>
          </w:p>
        </w:tc>
        <w:tc>
          <w:tcPr>
            <w:tcW w:w="72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GMHI’s selected historical consolidated financial data as of and for each of the periods presented.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selected historical consolidated financial data as of and for the years ended December 31, 2020 and 2019, have been prepared in accordance with U.S. GAAP. The balance sheet data as of December 31, 2020 and 2019, and the statements of income data for each of the years ended December 31, 2020 and 2019, have been derived from the audited consolidated financial statements of GMHI included elsewhere in this prospectus.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856,976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49,850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634,041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260,683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115,290</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Balance Sheet Data</w:t>
            </w: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Fixed maturity securities available-for-sale, at fair value (amortized cost $4,781,916 and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$3,643,347)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3,764,432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investment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Premiums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 reserves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555,679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133,302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1,770,899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675,849</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our consolidated financial statements and related notes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For additional information, refer to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GMHI, the “Company,” “we” or “our” herein are, unless the context otherwise requires, to GMHI on a consolidated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rate)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Penetration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low-down payment programs available through the FHA or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our NIW, number of cures and new delinquencies for primary policies, excluding our run-off insurance block with reference properties in Mexico,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40" w:type="dxa"/>
            <w:vAlign w:val="bottom"/>
            <w:gridSpan w:val="2"/>
          </w:tcPr>
          <w:p>
            <w:pPr>
              <w:ind w:left="440"/>
              <w:spacing w:after="0"/>
              <w:rPr>
                <w:sz w:val="20"/>
                <w:szCs w:val="20"/>
                <w:color w:val="auto"/>
              </w:rPr>
            </w:pPr>
            <w:r>
              <w:rPr>
                <w:rFonts w:ascii="Arial" w:cs="Arial" w:eastAsia="Arial" w:hAnsi="Arial"/>
                <w:sz w:val="11"/>
                <w:szCs w:val="11"/>
                <w:b w:val="1"/>
                <w:bCs w:val="1"/>
                <w:color w:val="auto"/>
              </w:rPr>
              <w:t>Seasonality</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2"/>
        </w:trPr>
        <w:tc>
          <w:tcPr>
            <w:tcW w:w="146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(Dollar amounts in</w:t>
            </w:r>
          </w:p>
        </w:tc>
        <w:tc>
          <w:tcPr>
            <w:tcW w:w="80" w:type="dxa"/>
            <w:vAlign w:val="bottom"/>
          </w:tcPr>
          <w:p>
            <w:pPr>
              <w:spacing w:after="0"/>
              <w:rPr>
                <w:sz w:val="8"/>
                <w:szCs w:val="8"/>
                <w:color w:val="auto"/>
              </w:rPr>
            </w:pP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Dec 31,</w:t>
            </w: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Mar 31,</w:t>
            </w:r>
          </w:p>
        </w:tc>
        <w:tc>
          <w:tcPr>
            <w:tcW w:w="108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Jun 30,</w:t>
            </w:r>
          </w:p>
        </w:tc>
        <w:tc>
          <w:tcPr>
            <w:tcW w:w="1000" w:type="dxa"/>
            <w:vAlign w:val="bottom"/>
          </w:tcPr>
          <w:p>
            <w:pPr>
              <w:ind w:left="320"/>
              <w:spacing w:after="0" w:line="102" w:lineRule="exact"/>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8"/>
                <w:szCs w:val="8"/>
                <w:color w:val="auto"/>
              </w:rPr>
            </w:pP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Dec 31,</w:t>
            </w: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Mar 31,</w:t>
            </w:r>
          </w:p>
        </w:tc>
        <w:tc>
          <w:tcPr>
            <w:tcW w:w="1080" w:type="dxa"/>
            <w:vAlign w:val="bottom"/>
            <w:gridSpan w:val="2"/>
          </w:tcPr>
          <w:p>
            <w:pPr>
              <w:ind w:left="300"/>
              <w:spacing w:after="0" w:line="102" w:lineRule="exact"/>
              <w:rPr>
                <w:sz w:val="20"/>
                <w:szCs w:val="20"/>
                <w:color w:val="auto"/>
              </w:rPr>
            </w:pPr>
            <w:r>
              <w:rPr>
                <w:rFonts w:ascii="Arial" w:cs="Arial" w:eastAsia="Arial" w:hAnsi="Arial"/>
                <w:sz w:val="11"/>
                <w:szCs w:val="11"/>
                <w:b w:val="1"/>
                <w:bCs w:val="1"/>
                <w:color w:val="auto"/>
              </w:rPr>
              <w:t>Jun 30,</w:t>
            </w:r>
          </w:p>
        </w:tc>
        <w:tc>
          <w:tcPr>
            <w:tcW w:w="11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Sep 30,</w:t>
            </w:r>
          </w:p>
        </w:tc>
        <w:tc>
          <w:tcPr>
            <w:tcW w:w="1000" w:type="dxa"/>
            <w:vAlign w:val="bottom"/>
          </w:tcPr>
          <w:p>
            <w:pPr>
              <w:ind w:left="320"/>
              <w:spacing w:after="0" w:line="102" w:lineRule="exact"/>
              <w:rPr>
                <w:sz w:val="20"/>
                <w:szCs w:val="20"/>
                <w:color w:val="auto"/>
              </w:rPr>
            </w:pPr>
            <w:r>
              <w:rPr>
                <w:rFonts w:ascii="Arial" w:cs="Arial" w:eastAsia="Arial" w:hAnsi="Arial"/>
                <w:sz w:val="11"/>
                <w:szCs w:val="11"/>
                <w:b w:val="1"/>
                <w:bCs w:val="1"/>
                <w:color w:val="auto"/>
              </w:rPr>
              <w:t>Dec 31,</w:t>
            </w:r>
          </w:p>
        </w:tc>
      </w:tr>
      <w:tr>
        <w:trPr>
          <w:trHeight w:val="142"/>
        </w:trPr>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rPr>
              <w:t>Millions)</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2018</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r>
      <w:tr>
        <w:trPr>
          <w:trHeight w:val="20"/>
        </w:trPr>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5"/>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NIW</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$9,290</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$9,636</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$15,790</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$18,835</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5"/>
              </w:rPr>
              <w:t>$18,170</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$17,908</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$28,396</w:t>
            </w:r>
          </w:p>
        </w:tc>
        <w:tc>
          <w:tcPr>
            <w:tcW w:w="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$26,550</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$27,017</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(9.4)%</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3.7%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63.9%</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19.3%</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8"/>
              </w:rPr>
              <w:t>(3.5)%</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(1.4)%</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58.6%</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(6.5)%</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5"/>
              </w:rPr>
              <w:t>1.8%</w:t>
            </w: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Cure Counts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7,511</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8,726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7,791</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7,382</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4"/>
              </w:rPr>
              <w:t>7,464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8,649</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9,795</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20,404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16,548</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(3.5)%</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16.2%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(10.7)%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(5.3)%</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5"/>
              </w:rPr>
              <w:t>1.1%</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15.9%</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13.3%</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(18.9)%</w:t>
            </w:r>
          </w:p>
        </w:tc>
      </w:tr>
      <w:tr>
        <w:trPr>
          <w:trHeight w:val="22"/>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New Delinquency Count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8,616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8,424</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7,606</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8,547</w:t>
            </w:r>
          </w:p>
        </w:tc>
        <w:tc>
          <w:tcPr>
            <w:tcW w:w="1080" w:type="dxa"/>
            <w:vAlign w:val="bottom"/>
            <w:tcBorders>
              <w:bottom w:val="single" w:sz="8" w:color="CCEEFF"/>
            </w:tcBorders>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4"/>
              </w:rPr>
              <w:t>8,659</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8,114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48,373</w:t>
            </w: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16,664</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4"/>
              </w:rPr>
              <w:t>11,923</w:t>
            </w:r>
          </w:p>
        </w:tc>
      </w:tr>
      <w:tr>
        <w:trPr>
          <w:trHeight w:val="140"/>
        </w:trPr>
        <w:tc>
          <w:tcPr>
            <w:tcW w:w="154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000" w:type="dxa"/>
            <w:vAlign w:val="bottom"/>
          </w:tcPr>
          <w:p>
            <w:pPr>
              <w:jc w:val="center"/>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(2.2)%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(9.7)%</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rPr>
              <w:t>12.4%</w:t>
            </w:r>
          </w:p>
        </w:tc>
        <w:tc>
          <w:tcPr>
            <w:tcW w:w="1080" w:type="dxa"/>
            <w:vAlign w:val="bottom"/>
            <w:gridSpan w:val="2"/>
          </w:tcPr>
          <w:p>
            <w:pPr>
              <w:jc w:val="center"/>
              <w:ind w:left="26"/>
              <w:spacing w:after="0"/>
              <w:rPr>
                <w:sz w:val="20"/>
                <w:szCs w:val="20"/>
                <w:color w:val="auto"/>
              </w:rPr>
            </w:pPr>
            <w:r>
              <w:rPr>
                <w:rFonts w:ascii="Arial" w:cs="Arial" w:eastAsia="Arial" w:hAnsi="Arial"/>
                <w:sz w:val="11"/>
                <w:szCs w:val="11"/>
                <w:color w:val="auto"/>
                <w:w w:val="95"/>
              </w:rPr>
              <w:t>1.3%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(6.3)%</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6"/>
              </w:rPr>
              <w:t>496.2%</w:t>
            </w:r>
          </w:p>
        </w:tc>
        <w:tc>
          <w:tcPr>
            <w:tcW w:w="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8"/>
              </w:rPr>
              <w:t>(65.6)%</w:t>
            </w: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(28.5)%</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NIW</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IIF</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IIF at the time of origination is used to determine premiums as the premium rate is expressed as a percentage of IIF.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December 31, 2020,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114"/>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9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100" w:type="dxa"/>
            <w:vAlign w:val="bottom"/>
            <w:vMerge w:val="restart"/>
          </w:tcPr>
          <w:p>
            <w:pPr>
              <w:spacing w:after="0"/>
              <w:rPr>
                <w:sz w:val="11"/>
                <w:szCs w:val="11"/>
                <w:color w:val="auto"/>
              </w:rPr>
            </w:pPr>
          </w:p>
        </w:tc>
        <w:tc>
          <w:tcPr>
            <w:tcW w:w="1520" w:type="dxa"/>
            <w:vAlign w:val="bottom"/>
          </w:tcPr>
          <w:p>
            <w:pPr>
              <w:jc w:val="center"/>
              <w:ind w:left="94"/>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20" w:type="dxa"/>
            <w:vAlign w:val="bottom"/>
            <w:tcBorders>
              <w:bottom w:val="single" w:sz="8" w:color="auto"/>
            </w:tcBorders>
          </w:tcPr>
          <w:p>
            <w:pPr>
              <w:jc w:val="center"/>
              <w:ind w:left="94"/>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2005 to 2008</w:t>
            </w:r>
          </w:p>
        </w:tc>
        <w:tc>
          <w:tcPr>
            <w:tcW w:w="152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9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portfolio</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3.89 %</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Annual Mortgage Interest Rate weighted by IIF; In the fourth quarter of 2020, we revised the presentation of our primary insurance in-force to represent the aggregate unpaid principal balance for loans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60"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insure. Prior year amounts have been reclassified to conform to the current year presentation. Original loan balances are primarily used to determine premiums.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December 31, 2020 and 2019, single premium policies comprised 15% and 20% of IIF,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9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7"/>
          <w:szCs w:val="17"/>
          <w:color w:val="auto"/>
        </w:rPr>
        <w:t>Losses incurred represent current payments and changes in the estimated future payments on claims that result from delinquent loans. We estimate an expense only for delinquent loans as explained in Note 2 to our consolidated financial statements. Incurred losses depend to a significant extent on the following factors, each of which in turn may be affected by COVID-19 as noted below in “—Trends and Conditions.”</w:t>
      </w:r>
    </w:p>
    <w:p>
      <w:pPr>
        <w:spacing w:after="0" w:line="131" w:lineRule="exact"/>
        <w:rPr>
          <w:sz w:val="20"/>
          <w:szCs w:val="20"/>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11 to our consolidated financial statements regarding our related 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4" w:lineRule="auto"/>
        <w:tabs>
          <w:tab w:leader="none" w:pos="2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do not establish loss reserves for future claims on insured loans that are not in default or believed to be in default.</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considering the potential sensitivity of the factors underlying management’s best estimate of our loss reserve, it is possible that even a relatively small change in the estimated claim and severity rates could have a significant impact on loss reserves and, correspondingly, on results of operations. For example, based on our actual experience during the three-year period ended December 31, 2020, a quarterly change of 14%, or a 3-basis point change, in the average claim rate would change the gross loss reserve amount for such quarter by approximately $72 million. Likewise, a quarterly change of 5%, or a 5-basis point change, in the average severity rate would change the gross loss reserve amount for such quarter by approximately $26 million.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of Fixed Maturity Securities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Notes 2, 3 and 4 to our consolidated financial statements for additional information related to the valuation of fixed maturity securities and a description of the fair value measurement estimates and level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Impairments on Available-For-Sale Securities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each balance sheet date, we evaluate fixed maturity securities in an unrealized loss position for other-than-temporary impairments. We consider all available information relevant to the collectability of the security, including information about past events, current conditions, and reasonable and supportable forecasts, when developing the estimate of cash flows expected to be collected.</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See Note 2 and 3 to our consolidated financial statements for additional information related to other-than-temporary impairments on fixed maturity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elected to account for the investment in Genworth Canada under the fair value option because the investment had a readily determinable fair value. Accordingly, the investment was recorded at fair value, and changes in the fair value of the investment for each reporting period were recorded in the consolidated statements of income. The change in fair value of the investment in Genworth Canada, including dividends and the sale of common shares, was $127.4 million in 2019 and was included within change in fair value of unconsolidated affiliate in the consolidated statements of income, net of provision for income taxes of $12.1 million in 2019.</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received approximately $501.8 million in net cash proceeds.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rates declined on our existing insurance in-force by 10%, earned premiums would decline by approximately $101 million during the first full year, partially offset by higher policy cancellations in our single premium products. These reductions in earned premiums could be potentially offset by lower reserves due to policies no longer being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Conditions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United States economy and consumer confidence improved in the second half of 2020 compared to the first half of 2020 as state economies reopened in varying degrees; however, certain geographies and industries have experienced slower recoveries because of the virus, the mitigation steps taken to control its spread or changed consumer behavior. While the economy remains weak compared to pre-COVID-19, the unemployment rate was elevated at 6.7% in December 2020 compared to the pre-pandemic level of 3.5% in February 2020, but has decreased from a peak of 14.8% in April 2020. Even after the recovery in the second half of 2020, the number of unemployed Americans stands at approximately 11 million, which is 5 million higher than in February 2020. Among the unemployed, those on temporary layoff continued to decrease to 3 million from a peak of 18 million in April 2020, but the number of permanent job losses increased to 3 million. In addition, the number of long term unemployed over 26 weeks increased to 4 million. Specific to housing finance, mortgage origination activity remained robust in the fourth quarter of 2020 fueled by refinance activity and a strong surge in home sales. Refinance activity remained robust but relatively flat as compared to the third quarter of 2020. After experiencing a slowdown in sales during the second quarter of 2020, the purchase market improved in the second half of 2020 with sales of previously owned homes increasing 10% in the fourth quarter of 2020 compared to the third quarter of 2020 and inventories declining from 2.8 months to 2.1 months. The pandemic continued to affect our financial results in the fourth quarter of 2020 as primarily evidenced by reserve strengthening and the elevated, but declining, servicer reported forbearance and new delinquencies during the fourth quarter of 2020.</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impact of the COVID-19 pandemic on our future business results is difficult to predict. We have performed and have periodically revised our scenario planning to help us better understand and tailor our actions to help mitigate the potential adverse effects of the pandemic on our financial results. While our current financial results to date fall within the range of our current scenarios, the ultimate outcomes and impact on our business will depend on the spread and length of the pandemic. Of similar importance will be the amount, type and duration of government stimulus and its impact on borrowers, regulatory and government actions to support housing and the economy, spread mitigating actions to curb the current increase in cases, the possible resurgence of the virus in the future and the shape of economic recovery, all of which are unknown at present. It is difficult to predict how long borrowers will need to use forbearance to assist them during the pandemic. Given the length of time current forbearance plans may be extended, the resolution of a delinquency in a plan, whether it ultimately results in a cure or a claim, is difficult to estimate and may not be known for several quarters, if not longer. We continue to monitor COVID-19 developments and regulatory and government actions. However, given the specific risks to our business, it is possible the pandemic could have a significant adverse impact on our results of operations and financial condition.</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On February 25, 2021, the FHFA announced an extension until June 30, 2021 of the foreclosure moratorium that was originally set to expire on March 31, 2021 for mortgages that are purchased by the GSEs. At the conclusion of the forbearance term, a borrower may either bring their loan current, defer any missed payments until the end of their loan,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 Servicer reported forbearance slowed meaningfully beginning in June 2020 and ended the fourth quarter of 2020 with approximately 5.4% or 50,018 of our active primary policies reported in a forbearance plan, of which approximately 63% were reported as delinquent. It is difficult to predict the future level of reported forbearance and how many of the policies in a forbearance plan that remain current on their monthly mortgage payment will go delinquent.</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December 17, 2020, the FHFA promulgated the Enterprise Capital Framework Final Rule for Fannie Mae and Freddie Mac, which includes significantly increased regulatory capital requirements for the GSEs over current requirements. Higher GSE capital requirements could ultimately lead to increased costs to borrowers for GSE loans, which in turn could shift the market away from the GSEs to the FHA or lender portfolios. Such a shift could result in a smaller market for private mortgage insurance. 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Since then,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See “Risk Factors—Risks Relating to Our Business— “Our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 On January 14, 2021, the FHFA and the Treasury Department agreed to amend the PSPAs between the Treasury Department and each of the GSEs to increase the amount of capital each GSE may retain. In addition, among other things, the PSPAs limit the amount of certain mortgages the GSEs may acquire with two or more prescribed risk factors, including certain mortgages with combined loan-to-value ratios above 90%. Because these limits are based on the current market size, we do not expect any material impact to the private mortgage market in the near term. For more information about the potential future impact, see “Risk Factors—Risks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Estimated mortgage origination volume increased during 2020 compared to 2019 primarily as lower interest rates resulted in higher refinance origination volumes and to a lesser degree higher purchase originations. The estimated private mortgage insurance available market increased driven by higher refinance originations and higher purchase market penetration. Given the volume experienced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mortgage originations to remain strong into the first quarter of 2021 fueled by historically low interest rates driving refinances and by continued strength in the purchase originations market.</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persistency rate declined to 59% for the year ended December 31, 2020 compared to 76% for the year ended December 31, 2019. Lower persistency has impacted business performance trends in several ways including, but not limited to, offsetting IIF growth from NIW, elevating single premium policy cancellations resulting in higher earned premiums, accelerating the amortization of our existing reinsurance transactions reducing their associated PMIERs capital credit in 2020 and shifting the concentration of primary IIF. For the year ended December 31, 2020, our primary IIF has less than 10% concentration in 2014 and prior book years. Our 2005 through 2008 book year concentration is approximately 5%. In contrast, our 2020 book year is 45% of our Primary IIF concentration at December 31, 2020.</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At the same time, we believe mortgage insurers, including us, consider many variables when pricing their NIW including the prevailing and future macroeconomic conditions.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NIW of $99.9 billion in 2020 increased 60% compared to 2019 primarily due to higher mortgage refinancing originations and a larger private mortgage insurance market. Our largest customer accounted for 12% and 16% of our total NIW during 2020 and 2019, respectively. No other customer exceeded 10% of our NIW during 2020 and 2019. Additionally, no customer had earned premiums that accounted for more than 10% of our total revenues for the years ended December 31, 2020 and 2019. For more information on the potential impacts due to customer concentration, see “Risk Factors—Risks Relating to Our Business—Our reliance on customer relationships could cause us to lose significant sales if one or more of those relationships terminate or are reduced.”</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market share is influenced by the execution of our go to market strategy, including but not limited to, pricing competitiveness relative to our peers and our selective participation in forward commitment transactions. Our market share remains impacted by the negative ratings differential relative to our competitors, concerns expressed about our Parent’s financial condition and the execution of our Parent’s strategic plans. We continue to manage the quality of new business through pricing and our underwriting guidelines, which we modify from time to time when circumstances warrant.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earned premiums increased in 2020 compared to 2019 primarily from growth in our IIF and from an increase in single premium policy cancellations driven largely by higher mortgage refinancing, partially offset by lower average premium rates. The year ended December 31, 2019 included a favorable adjustment of $14 million related to our single premium earnings pattern review. As a result of COVID-19, we experienced a significant increase in the number of reported delinquent loans between the second and fourth quarters of 2020 as compared to recent pre-COVID-19 quarters. During this time and consistent with prior years, servicers continued the practice of remitting premium during the early stages of default. As a result, we did not experience an impact to earned premiums during 2020. Additionally, we have a business practice of refunding the post-delinquent premiums to the insured party if the delinquent loan goes to claim. We record a liability and a reduction to net earned premiums for the post-delinquent premiums we expect to refund. The liability recorded in 2020 was not significant to the change in earned premiums for the year ended December 31, 2020 as a result of the high concentration of new delinquencies being subject to forbearance and their lower estimated claim rates. The post-default premium liability increased by $3 million primarily as a result of COVID-19 delinquencies and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liability for all delinquencies was $9 million as of December 31, 2020. 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 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2020, servicers also continued to remit premium on non-delinquent loans and therefore we did not experience a significant change to earned premiums.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reserves and loss ratio continue to be negatively impacted by COVID-19.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which may ultimately cure at a higher rate than traditional delinquencies should economic activity return to pre-COVID-19 levels. Unlike a hurricane where the natural disaster occurs at a point in time and the rebuild starts soon after, COVID-19 is an ongoing health crisis and we do not know when it will end, making it more difficult to determine the effectiveness of forbearance and the resulting claim rates for new delinquencies in forbearance plans. Given this difference, our prior hurricane experience was leveraged as one of many considerations in the establishment of an appropriate claim rate estimate for new delinquencies in forbearance plans that have emerged as a result of COVID-19. Severity of loss on loans that do go to claim, however, may be negatively impacted by the extended forbearance timeline, the associated elevated expenses, the higher loan amount of the recent new delinquencies and the potential for home price depreciation.</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ratio was 39% for the year ended December 31, 2020, compared to 6% for the year ended December 31, 2019. The increase was largely from higher new delinquencies in 2020 driven primarily from an increase in borrower forbearance as a result of COVID-19. We also strengthened reserves on existing delinquencies by $65 million during 2020 driven primarily by the deterioration of early cure emergence patterns impacting claim frequency along with a modest increase in claim severity. This reserve strengthening compares to favorable reserve adjustments of $23 million in 2019 mostly associated with lower expected claim rates. The favorable reserve adjustments of $23 million along with a $14 million favorable adjustment to earned premiums from our single premium earnings pattern review reduced the loss ratio by three percentage points in 2019. In addition, we experienced lower net benefits from cures and aging of existing delinquencies in 2020. New primary delinquencies of 85,074 contributed $308 million of loss expense during 2020 largely determined by applying a claim rate estimate which considers the emergence of cures on forbearance and non-forbearance delinquencies and the ongoing economic impact due to the pandemic. Approximately 82% of our primary new delinquencies between the second and fourth quarters of 2020 were subject to a forbearance plan as compared to less than 1% in recent quarters prior to COVID-19. For the year ended December 31, 2019, we had $120 million of loss expense from 33,236 new primary delinquencies. Prior to COVID-19, traditional measures of credit quality, such as FICO score and whether a loan had a prior delinquency were most predictive of new delinquencies. Because the pandemic has affected a broad portion of the population, attribution analysis of new delinquencies revealed that additional factors such as higher DTI ratios, geographic regions more affected by the virus or with a higher concentration of affected industries, loan size, and servicer process differences rose in significance.</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2020, GMICO’s RTC ratio under the current regulatory framework as established under North Carolina law and enforced by the NCDOI, GMICO’s domestic insurance regulator, was approximately 12.3:1 and 12.5:1 as of December 31, 2020 and 2019, respectively. This RTC ratio remains below the NCDOI’s maximum RTC ratio of 25:1. North Carolina’s calculation of RTC excludes the RIF for delinquent loans given the established loss reserves against all delinquencies. As a result, we do not expect any immediate, material pressure to GMICO’s RTC ratio in the short term as a result of COVID-19. GMICO’s ongoing RTC ratio will depend principally on the magnitude of future losses incurred by GMICO, the effectiveness of ongoing loss mitigation activities, new business volume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policy lapses and the amount of additional capital that is generated or distributed by the business or capital support provided.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evidencing its compliance with PMIERs. 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September 2020, certain GSE Restrictions were imposed with respect to capital on our business. See “Regulation— United States Insurance Regulation” for additional details. These restrictions will remain in effect until the later of six quarters or until the collective GSE Conditions are met.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had available assets of $4,588 million against $3,359 million net required assets under PMIERs, compared to available assets of $4,451 million against $3,377 million net required assets as of September 30, 2020 and available assets of $3,811 million against $2,754 million net required assets as of December 31, 2019. The estimated sufficiency above the published PMIERs financial requirements as of December 31, 2020 was $1,229 million, compared to $1,074 million above the published PMIERs requirements as of September 30, 2020 and $1,057 million above the published PMIERs requirements as of December 31, 2019, resulting in a PMIERs sufficiency ratio of 137%, 132%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The increase in the PMIERs sufficiency compared to September 30, 2020 was driven in part by the completion of an insurance linked note transaction in October 2020, which added $311 million of additional PMIERs capital credit as of December 31, 2020, and elevated lapse driven by prevailing low interest rates, partially offset by elevated NIW. In addition, elevated lapse continued to drive an acceleration of the amortization of our existing reinsurance transactions, which caused a reduction in PMIERs capital credit in the fourth quarter of 2020. In addition, our PMIERs required assets as of December 31, 2020 benefited from the application of a 0.30 multiplier applied to the risk-based required asset amount factor for certain non-performing loans.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CRT transactions provided an estimated aggregate of $ 936 million of PMIERs capital credit as of December 31, 2020. 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For additional details see Note 6 to our consolidated financial statements.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February 4, 2021, we executed an XOL reinsurance transaction with a panel of reinsurers, which will provide up to $210 million of reinsurance coverage on a portion of current and expected NIW for the 2021 book, effective January 1, 2021. On March 2, 2021, we obtained $495 million of fully collateralized XOL reinsurance coverage from Triangle Re 2021-1 Ltd. (“Triangle Re 2021-1”) on a portfolio of existing seasoned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 We may execute future CRT transactions to maintain a prudent level of financial flexibility in excess of the PMIERs capital requirements in response to potential changes in performance and PMIERs requirements over time.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paid dividends of $437 million in 2020 generated from the net cash proceeds of GMHI’s 2025 Senior Notes offering. As a result of the uncertainty regarding the impact of COVID-19 and the recently imposed PMIERs Amendment and GSE Restrictions on our business, we intend to preserve PMIERs available assets. The amount and timing of future dividends will depend on the economic recovery from COVID-19, among other factors.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two final rules (i) the Amended QM Rule and (ii)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rPr>
              <w:t>Increase (decrease)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2"/>
          </w:tcPr>
          <w:p>
            <w:pPr>
              <w:jc w:val="center"/>
              <w:ind w:left="274"/>
              <w:spacing w:after="0" w:line="135" w:lineRule="exact"/>
              <w:rPr>
                <w:sz w:val="20"/>
                <w:szCs w:val="20"/>
                <w:color w:val="auto"/>
              </w:rPr>
            </w:pPr>
            <w:r>
              <w:rPr>
                <w:rFonts w:ascii="Arial" w:cs="Arial" w:eastAsia="Arial" w:hAnsi="Arial"/>
                <w:sz w:val="14"/>
                <w:szCs w:val="14"/>
                <w:b w:val="1"/>
                <w:bCs w:val="1"/>
                <w:color w:val="auto"/>
              </w:rPr>
              <w:t>and percentage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rPr>
              <w:t>2020 vs. 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856,976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114,389</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(4,042)</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Total revenues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1,106,459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978,853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127,606</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329,984</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deferred acquisition costs and</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5,874</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634,041</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260,683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373,358</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income taxes and change in fair value</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unconsolidated affiliate</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472,418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718,170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(245,752)</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155,832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(53,835)</w:t>
            </w:r>
          </w:p>
        </w:tc>
        <w:tc>
          <w:tcPr>
            <w:tcW w:w="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8"/>
        </w:trPr>
        <w:tc>
          <w:tcPr>
            <w:tcW w:w="44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562,338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(191,917)</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18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115,290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(115,290)</w:t>
            </w:r>
          </w:p>
        </w:tc>
        <w:tc>
          <w:tcPr>
            <w:tcW w:w="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677,628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(307,207)</w:t>
            </w: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3"/>
                <w:szCs w:val="23"/>
                <w:color w:val="auto"/>
                <w:vertAlign w:val="superscript"/>
              </w:rPr>
              <w:t>(2)</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39 %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measurable.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Loss ratio is calculated by dividing losses incurred by net earned premiums.</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Expense ratio (net earned premiums) is calculated by dividing acquisition and operating expenses, net of deferrals, plus amortization of DAC and intangibles by net earned premiums.</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higher mortgage refinancing, partially offset by lower average premium rates in 2020.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increased primarily due to higher average invested assets partially offset by lower investment yields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investment losses in 2020 were primarily driven by impairments and net losses from the sale of fixed maturity securities. Net investment gains in 2019 were largely from net gains from the sale of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Other income primarily includes underwriting fee revenue charged on a per-unit or per-diem basis, as defined in the underwriting agreement. Other income increased primarily due to higher contract underwriting revenue from a larger mortgage insurance market.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Losses and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Losses incurred increased largely from new delinquencies driven primarily by a significant increase in borrower forbearance as a result of COVID-19 and strengthening of existing reserves of $65 million in 2020 primarily driven by the deterioration of early cure emergence patterns impacting claim frequency along with a modest increase in claim severity. We also experienced lower net benefits from cures and aging of existing delinquencies in 2020. Included in 2019 were favorable reserve adjustments of $23 million mostly associated with lower expected claim rates. Our loss ratio increased primarily from higher losses, partially offset by higher net earned premiums in 2020.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48"/>
        </w:trPr>
        <w:tc>
          <w:tcPr>
            <w:tcW w:w="7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Acquisition and operating expenses, net of deferrals, increased primarily driven by higher acquisition costs mainly driven by increased NIW in 2020 and higher information technology and other expenses due to continued investment in modernization of the business.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Amortization of DAC and intangibles consists primarily of the amortization of acquisition costs that are capitalized and capitalized software. Amortization of DAC and intangibles increased primarily due to accelerated DAC amortization of $6 million driven by elevated lapses in 2020.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expense ratio decreased slightly primarily from higher earned premiums, mostly offset by higher acquisition and operating expenses, and higher DAC amortization in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in 2020 relates to our 2025 Senior Notes issued in August 2020.</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effective tax rate was 21.6% and 21.7% for the years ended December 31, 2020 and 2019, respectively, consistent with the United States corporate federal income tax rate.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was driven by the sale of of our investment in Genworth Canada, which closed on December 12, 2019. See Note 3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Non-GAAP Measures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“Adjusted operating income” is defined as U.S. GAAP net income excluding the effects of (i) net investment gains (losses), (ii) change in fair value of unconsolidated affiliate and (iii) infrequent or unusual non-operating items.</w:t>
      </w:r>
    </w:p>
    <w:p>
      <w:pPr>
        <w:spacing w:after="0" w:line="144" w:lineRule="exact"/>
        <w:rPr>
          <w:sz w:val="20"/>
          <w:szCs w:val="20"/>
          <w:color w:val="auto"/>
        </w:rPr>
      </w:pPr>
    </w:p>
    <w:p>
      <w:pPr>
        <w:jc w:val="both"/>
        <w:ind w:left="660" w:hanging="328"/>
        <w:spacing w:after="0" w:line="253" w:lineRule="auto"/>
        <w:tabs>
          <w:tab w:leader="none" w:pos="6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51" w:lineRule="exact"/>
        <w:rPr>
          <w:rFonts w:ascii="Arial" w:cs="Arial" w:eastAsia="Arial" w:hAnsi="Arial"/>
          <w:sz w:val="18"/>
          <w:szCs w:val="18"/>
          <w:color w:val="auto"/>
        </w:rPr>
      </w:pPr>
    </w:p>
    <w:p>
      <w:pPr>
        <w:jc w:val="both"/>
        <w:ind w:left="660" w:hanging="328"/>
        <w:spacing w:after="0" w:line="252"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52" w:lineRule="exact"/>
        <w:rPr>
          <w:rFonts w:ascii="Arial" w:cs="Arial" w:eastAsia="Arial" w:hAnsi="Arial"/>
          <w:sz w:val="18"/>
          <w:szCs w:val="18"/>
          <w:color w:val="auto"/>
        </w:rPr>
      </w:pPr>
    </w:p>
    <w:p>
      <w:pPr>
        <w:ind w:left="660" w:hanging="328"/>
        <w:spacing w:after="0" w:line="261" w:lineRule="auto"/>
        <w:tabs>
          <w:tab w:leader="none" w:pos="6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change in fair value of the investment in Genworth Canada was $127.4 million for the year ended December 31, 2019, and is included within change in fair value of unconsolidated affiliate in the consolidated statements of income, net of provision (benefit) for income taxes of $12.1 million. There were no infrequent or unusual items excluded from adjusted operating income during the periods presented.</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as a result of COVID-19, reserve strengthening of $51 million on existing delinquencies and from lower net benefits from cures and aging of existing delinquencies in 2020. These decreases were partially offset by higher premiums largely driven by higher IIF and an increase in policy cancellations in our single premium mortgage insurance product primarily due to higher mortgage refinancing in 2020. The year ended December 31, 2019 included favorable reserve adjustments of $ 18 million mostly associated with lower expected claim rates and a favorable adjustment of $11 million related to our single premium earnings pattern review.</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Metrics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operating performance measures on a primary basis as of or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insurance written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99,871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62,431</w:t>
            </w: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Insurance in-force</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207,947</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181,785</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in-force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52,475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46,246</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Persistency rate</w:t>
            </w:r>
          </w:p>
        </w:tc>
        <w:tc>
          <w:tcPr>
            <w:tcW w:w="4640" w:type="dxa"/>
            <w:vAlign w:val="bottom"/>
          </w:tcPr>
          <w:p>
            <w:pPr>
              <w:jc w:val="right"/>
              <w:ind w:right="490"/>
              <w:spacing w:after="0"/>
              <w:rPr>
                <w:sz w:val="20"/>
                <w:szCs w:val="20"/>
                <w:color w:val="auto"/>
              </w:rPr>
            </w:pPr>
            <w:r>
              <w:rPr>
                <w:rFonts w:ascii="Arial" w:cs="Arial" w:eastAsia="Arial" w:hAnsi="Arial"/>
                <w:sz w:val="18"/>
                <w:szCs w:val="18"/>
                <w:color w:val="auto"/>
              </w:rPr>
              <w:t>59 %</w:t>
            </w: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in-force (count)</w:t>
            </w:r>
          </w:p>
        </w:tc>
        <w:tc>
          <w:tcPr>
            <w:tcW w:w="4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924,624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851,070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Delinquent loans (count)</w:t>
            </w:r>
          </w:p>
        </w:tc>
        <w:tc>
          <w:tcPr>
            <w:tcW w:w="4640" w:type="dxa"/>
            <w:vAlign w:val="bottom"/>
          </w:tcPr>
          <w:p>
            <w:pPr>
              <w:jc w:val="right"/>
              <w:ind w:right="490"/>
              <w:spacing w:after="0"/>
              <w:rPr>
                <w:sz w:val="20"/>
                <w:szCs w:val="20"/>
                <w:color w:val="auto"/>
              </w:rPr>
            </w:pPr>
            <w:r>
              <w:rPr>
                <w:rFonts w:ascii="Arial" w:cs="Arial" w:eastAsia="Arial" w:hAnsi="Arial"/>
                <w:sz w:val="18"/>
                <w:szCs w:val="18"/>
                <w:color w:val="auto"/>
              </w:rPr>
              <w:t>44,904</w:t>
            </w:r>
          </w:p>
        </w:tc>
        <w:tc>
          <w:tcPr>
            <w:tcW w:w="1240" w:type="dxa"/>
            <w:vAlign w:val="bottom"/>
          </w:tcPr>
          <w:p>
            <w:pPr>
              <w:jc w:val="right"/>
              <w:spacing w:after="0"/>
              <w:rPr>
                <w:sz w:val="20"/>
                <w:szCs w:val="20"/>
                <w:color w:val="auto"/>
              </w:rPr>
            </w:pPr>
            <w:r>
              <w:rPr>
                <w:rFonts w:ascii="Arial" w:cs="Arial" w:eastAsia="Arial" w:hAnsi="Arial"/>
                <w:sz w:val="18"/>
                <w:szCs w:val="18"/>
                <w:color w:val="auto"/>
              </w:rPr>
              <w:t>16,392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Delinquency rate</w:t>
            </w:r>
          </w:p>
        </w:tc>
        <w:tc>
          <w:tcPr>
            <w:tcW w:w="4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4.86 %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aggregate unpaid principal balance for loans we insure. Original loan balances are primarily used to determine premiums.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New insurance written</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NIW for the year ended December 31, 2020 increased 60% compared to the year ended December 31, 2019 primarily due to higher mortgage refinancing originations and a larger private mortgage insurance market in 2020 partially offset by lower persistency in 2020. We manage the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of new business through pricing and our underwriting guidelines, which we modify from time to time as circumstances warrant.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NIW by product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Pool</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7"/>
        </w:trPr>
        <w:tc>
          <w:tcPr>
            <w:tcW w:w="9420" w:type="dxa"/>
            <w:vAlign w:val="bottom"/>
            <w:gridSpan w:val="9"/>
          </w:tcPr>
          <w:p>
            <w:pPr>
              <w:ind w:left="340"/>
              <w:spacing w:after="0"/>
              <w:rPr>
                <w:sz w:val="20"/>
                <w:szCs w:val="20"/>
                <w:color w:val="auto"/>
              </w:rPr>
            </w:pPr>
            <w:r>
              <w:rPr>
                <w:rFonts w:ascii="Arial" w:cs="Arial" w:eastAsia="Arial" w:hAnsi="Arial"/>
                <w:sz w:val="18"/>
                <w:szCs w:val="18"/>
                <w:color w:val="auto"/>
              </w:rPr>
              <w:t>The following table presents primary NIW by underlying type of mortgage for the years ended 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67,183</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33"/>
        </w:trPr>
        <w:tc>
          <w:tcPr>
            <w:tcW w:w="8560" w:type="dxa"/>
            <w:vAlign w:val="bottom"/>
            <w:gridSpan w:val="8"/>
          </w:tcPr>
          <w:p>
            <w:pPr>
              <w:ind w:left="340"/>
              <w:spacing w:after="0"/>
              <w:rPr>
                <w:sz w:val="20"/>
                <w:szCs w:val="20"/>
                <w:color w:val="auto"/>
              </w:rPr>
            </w:pPr>
            <w:r>
              <w:rPr>
                <w:rFonts w:ascii="Arial" w:cs="Arial" w:eastAsia="Arial" w:hAnsi="Arial"/>
                <w:sz w:val="18"/>
                <w:szCs w:val="18"/>
                <w:color w:val="auto"/>
              </w:rPr>
              <w:t>The following table presents primary NIW by policy payment type for the years ended December 31:</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Single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9,251</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99,871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66"/>
        </w:trPr>
        <w:tc>
          <w:tcPr>
            <w:tcW w:w="7940" w:type="dxa"/>
            <w:vAlign w:val="bottom"/>
            <w:gridSpan w:val="7"/>
          </w:tcPr>
          <w:p>
            <w:pPr>
              <w:ind w:left="340"/>
              <w:spacing w:after="0"/>
              <w:rPr>
                <w:sz w:val="20"/>
                <w:szCs w:val="20"/>
                <w:color w:val="auto"/>
              </w:rPr>
            </w:pPr>
            <w:r>
              <w:rPr>
                <w:rFonts w:ascii="Arial" w:cs="Arial" w:eastAsia="Arial" w:hAnsi="Arial"/>
                <w:sz w:val="18"/>
                <w:szCs w:val="18"/>
                <w:color w:val="auto"/>
              </w:rPr>
              <w:t>The following table presents primary NIW by FICO score for the years ended December 31:</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16,378</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12,193</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7,888</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3,846</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99,871</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LTV ratio is calculated by dividing the original loan amount, excluding financed premium, by the property’s acquisition value or fair market value at the time of origination. The following table presents primary NIW by LTV ratio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390"/>
              <w:spacing w:after="0"/>
              <w:rPr>
                <w:sz w:val="20"/>
                <w:szCs w:val="20"/>
                <w:color w:val="auto"/>
              </w:rPr>
            </w:pPr>
            <w:r>
              <w:rPr>
                <w:rFonts w:ascii="Arial" w:cs="Arial" w:eastAsia="Arial" w:hAnsi="Arial"/>
                <w:sz w:val="14"/>
                <w:szCs w:val="14"/>
                <w:b w:val="1"/>
                <w:bCs w:val="1"/>
                <w:color w:val="auto"/>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26,961</w:t>
            </w:r>
          </w:p>
        </w:tc>
        <w:tc>
          <w:tcPr>
            <w:tcW w:w="1820" w:type="dxa"/>
            <w:vAlign w:val="bottom"/>
            <w:gridSpan w:val="5"/>
          </w:tcPr>
          <w:p>
            <w:pPr>
              <w:jc w:val="right"/>
              <w:ind w:right="150"/>
              <w:spacing w:after="0"/>
              <w:rPr>
                <w:sz w:val="20"/>
                <w:szCs w:val="20"/>
                <w:color w:val="auto"/>
              </w:rPr>
            </w:pPr>
            <w:r>
              <w:rPr>
                <w:rFonts w:ascii="Arial" w:cs="Arial" w:eastAsia="Arial" w:hAnsi="Arial"/>
                <w:sz w:val="18"/>
                <w:szCs w:val="18"/>
                <w:color w:val="auto"/>
              </w:rPr>
              <w:t>43</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1820" w:type="dxa"/>
            <w:vAlign w:val="bottom"/>
            <w:gridSpan w:val="5"/>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85.00% and below</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8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8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7860" w:type="dxa"/>
            <w:vAlign w:val="bottom"/>
            <w:gridSpan w:val="10"/>
          </w:tcPr>
          <w:p>
            <w:pPr>
              <w:ind w:left="340"/>
              <w:spacing w:after="0"/>
              <w:rPr>
                <w:sz w:val="20"/>
                <w:szCs w:val="20"/>
                <w:color w:val="auto"/>
              </w:rPr>
            </w:pPr>
            <w:r>
              <w:rPr>
                <w:rFonts w:ascii="Arial" w:cs="Arial" w:eastAsia="Arial" w:hAnsi="Arial"/>
                <w:sz w:val="18"/>
                <w:szCs w:val="18"/>
                <w:color w:val="auto"/>
              </w:rPr>
              <w:t>The following table presents primary NIW by DTI ratio for the years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45.01% and above</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38.01% to 45.00%</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21,354</w:t>
            </w:r>
          </w:p>
        </w:tc>
        <w:tc>
          <w:tcPr>
            <w:tcW w:w="1820" w:type="dxa"/>
            <w:vAlign w:val="bottom"/>
            <w:gridSpan w:val="5"/>
          </w:tcPr>
          <w:p>
            <w:pPr>
              <w:jc w:val="right"/>
              <w:ind w:right="150"/>
              <w:spacing w:after="0"/>
              <w:rPr>
                <w:sz w:val="20"/>
                <w:szCs w:val="20"/>
                <w:color w:val="auto"/>
              </w:rPr>
            </w:pPr>
            <w:r>
              <w:rPr>
                <w:rFonts w:ascii="Arial" w:cs="Arial" w:eastAsia="Arial" w:hAnsi="Arial"/>
                <w:sz w:val="18"/>
                <w:szCs w:val="18"/>
                <w:color w:val="auto"/>
              </w:rPr>
              <w:t>34</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38.00% and below</w:t>
            </w: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99,871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62,431</w:t>
            </w: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in-force and Risk in-force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IIF increased largely from NIW, partially offset by lapses and cancellations as we experienced lower persistency in 2020. Primary persistency rate was 59% and 76% for the years ended December 31, 2020 and 2019, respectively. This decrease in persistency resulted in elevated single premium policy cancellations in 2020. RIF increased primarily as a result of higher IIF.</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 IIF</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Pool IIF</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IIF</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Primary RIF</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vMerge w:val="continue"/>
          </w:tcPr>
          <w:p>
            <w:pPr>
              <w:spacing w:after="0"/>
              <w:rPr>
                <w:sz w:val="17"/>
                <w:szCs w:val="17"/>
                <w:color w:val="auto"/>
              </w:rPr>
            </w:pPr>
          </w:p>
        </w:tc>
        <w:tc>
          <w:tcPr>
            <w:tcW w:w="46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52,475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480" w:type="dxa"/>
            <w:vAlign w:val="bottom"/>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46,246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RIF</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 RIF</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52,621</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46,434</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policy year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4"/>
          </w:tcPr>
          <w:p>
            <w:pPr>
              <w:jc w:val="center"/>
              <w:ind w:left="173"/>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4"/>
          </w:tcPr>
          <w:p>
            <w:pPr>
              <w:jc w:val="center"/>
              <w:ind w:left="53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040" w:type="dxa"/>
            <w:vAlign w:val="bottom"/>
            <w:gridSpan w:val="7"/>
          </w:tcPr>
          <w:p>
            <w:pPr>
              <w:ind w:left="340"/>
              <w:spacing w:after="0"/>
              <w:rPr>
                <w:sz w:val="20"/>
                <w:szCs w:val="20"/>
                <w:color w:val="auto"/>
              </w:rPr>
            </w:pPr>
            <w:r>
              <w:rPr>
                <w:rFonts w:ascii="Arial" w:cs="Arial" w:eastAsia="Arial" w:hAnsi="Arial"/>
                <w:sz w:val="18"/>
                <w:szCs w:val="18"/>
                <w:color w:val="auto"/>
              </w:rPr>
              <w:t>The following table sets forth primary RIF by policy year as of the dates indicated: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4"/>
          </w:tcPr>
          <w:p>
            <w:pPr>
              <w:jc w:val="center"/>
              <w:ind w:left="213"/>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54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20" w:type="dxa"/>
            <w:vAlign w:val="bottom"/>
            <w:gridSpan w:val="10"/>
          </w:tcPr>
          <w:p>
            <w:pPr>
              <w:ind w:left="340"/>
              <w:spacing w:after="0"/>
              <w:rPr>
                <w:sz w:val="20"/>
                <w:szCs w:val="20"/>
                <w:color w:val="auto"/>
              </w:rPr>
            </w:pPr>
            <w:r>
              <w:rPr>
                <w:rFonts w:ascii="Arial" w:cs="Arial" w:eastAsia="Arial" w:hAnsi="Arial"/>
                <w:sz w:val="18"/>
                <w:szCs w:val="18"/>
                <w:color w:val="auto"/>
              </w:rPr>
              <w:t>The following table presents the development of primary IIF for the years ended 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181,785</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NIW</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99,871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62,431</w:t>
            </w: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207,947</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181,785</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the estimated amortization of unpaid principal balance of covered loans.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LTV ratio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6"/>
        </w:trPr>
        <w:tc>
          <w:tcPr>
            <w:tcW w:w="45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5"/>
                <w:szCs w:val="15"/>
                <w:color w:val="auto"/>
              </w:rPr>
            </w:pPr>
          </w:p>
        </w:tc>
      </w:t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ind w:right="65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80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92,689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83,189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46</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48"/>
        </w:trPr>
        <w:tc>
          <w:tcPr>
            <w:tcW w:w="4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RIF by LTV ratio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r>
      <w:tr>
        <w:trPr>
          <w:trHeight w:val="175"/>
        </w:trPr>
        <w:tc>
          <w:tcPr>
            <w:tcW w:w="4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15"/>
                <w:szCs w:val="15"/>
                <w:color w:val="auto"/>
              </w:rPr>
            </w:pPr>
          </w:p>
        </w:tc>
      </w:tr>
      <w:tr>
        <w:trPr>
          <w:trHeight w:val="18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w:t>
            </w: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26,774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52</w:t>
            </w:r>
          </w:p>
        </w:tc>
      </w:tr>
      <w:tr>
        <w:trPr>
          <w:trHeight w:val="27"/>
        </w:trPr>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60" w:type="dxa"/>
            <w:vAlign w:val="bottom"/>
          </w:tcPr>
          <w:p>
            <w:pPr>
              <w:spacing w:after="0"/>
              <w:rPr>
                <w:sz w:val="14"/>
                <w:szCs w:val="14"/>
                <w:color w:val="auto"/>
              </w:rPr>
            </w:pPr>
          </w:p>
        </w:tc>
        <w:tc>
          <w:tcPr>
            <w:tcW w:w="198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3"/>
          </w:tcPr>
          <w:p>
            <w:pPr>
              <w:jc w:val="center"/>
              <w:ind w:left="293"/>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740-759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29,961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700-719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620-639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207,947</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181,785</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RIF by FICO score at origination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2020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December 31,2019</w:t>
            </w:r>
          </w:p>
        </w:tc>
        <w:tc>
          <w:tcPr>
            <w:tcW w:w="780" w:type="dxa"/>
            <w:vAlign w:val="bottom"/>
            <w:tcBorders>
              <w:bottom w:val="single" w:sz="8" w:color="auto"/>
            </w:tcBorders>
          </w:tcPr>
          <w:p>
            <w:pPr>
              <w:spacing w:after="0"/>
              <w:rPr>
                <w:sz w:val="16"/>
                <w:szCs w:val="16"/>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52,475</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Delinquent loans and claims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the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(Loan count)</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delinquencies,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New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85,074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33,236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Rescissions and claim denials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Number of delinquencies,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(Amounts in thousands) </w:t>
            </w:r>
            <w:r>
              <w:rPr>
                <w:rFonts w:ascii="Arial" w:cs="Arial" w:eastAsia="Arial" w:hAnsi="Arial"/>
                <w:sz w:val="18"/>
                <w:szCs w:val="18"/>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 beginning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(103,578)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reserves,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LAE, IBNR and reinsurance reserves.</w:t>
      </w:r>
    </w:p>
    <w:p>
      <w:pPr>
        <w:spacing w:after="0" w:line="1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set forth primary delinquencies, direct case reserves and RIF by aged missed payment status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796"/>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6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Delinquencies</w:t>
            </w:r>
          </w:p>
        </w:tc>
        <w:tc>
          <w:tcPr>
            <w:tcW w:w="116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56"/>
              <w:spacing w:after="0" w:line="142" w:lineRule="exact"/>
              <w:rPr>
                <w:sz w:val="20"/>
                <w:szCs w:val="20"/>
                <w:color w:val="auto"/>
              </w:rPr>
            </w:pPr>
            <w:r>
              <w:rPr>
                <w:rFonts w:ascii="Arial" w:cs="Arial" w:eastAsia="Arial" w:hAnsi="Arial"/>
                <w:sz w:val="14"/>
                <w:szCs w:val="14"/>
                <w:b w:val="1"/>
                <w:bCs w:val="1"/>
                <w:color w:val="auto"/>
              </w:rPr>
              <w:t>Risk</w:t>
            </w:r>
          </w:p>
        </w:tc>
        <w:tc>
          <w:tcPr>
            <w:tcW w:w="80" w:type="dxa"/>
            <w:vAlign w:val="bottom"/>
          </w:tcPr>
          <w:p>
            <w:pPr>
              <w:spacing w:after="0"/>
              <w:rPr>
                <w:sz w:val="12"/>
                <w:szCs w:val="12"/>
                <w:color w:val="auto"/>
              </w:rPr>
            </w:pPr>
          </w:p>
        </w:tc>
        <w:tc>
          <w:tcPr>
            <w:tcW w:w="17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160" w:type="dxa"/>
            <w:vAlign w:val="bottom"/>
          </w:tcPr>
          <w:p>
            <w:pPr>
              <w:ind w:left="400"/>
              <w:spacing w:after="0" w:line="176" w:lineRule="exact"/>
              <w:rPr>
                <w:sz w:val="20"/>
                <w:szCs w:val="20"/>
                <w:color w:val="auto"/>
              </w:rPr>
            </w:pPr>
            <w:r>
              <w:rPr>
                <w:rFonts w:ascii="Arial" w:cs="Arial" w:eastAsia="Arial" w:hAnsi="Arial"/>
                <w:sz w:val="14"/>
                <w:szCs w:val="14"/>
                <w:b w:val="1"/>
                <w:bCs w:val="1"/>
                <w:color w:val="auto"/>
                <w:w w:val="97"/>
              </w:rPr>
              <w:t xml:space="preserve">reserves </w:t>
            </w:r>
            <w:r>
              <w:rPr>
                <w:rFonts w:ascii="Arial" w:cs="Arial" w:eastAsia="Arial" w:hAnsi="Arial"/>
                <w:sz w:val="18"/>
                <w:szCs w:val="18"/>
                <w:b w:val="1"/>
                <w:bCs w:val="1"/>
                <w:color w:val="auto"/>
                <w:w w:val="97"/>
                <w:vertAlign w:val="superscript"/>
              </w:rPr>
              <w:t>(1)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36"/>
              <w:spacing w:after="0"/>
              <w:rPr>
                <w:sz w:val="20"/>
                <w:szCs w:val="20"/>
                <w:color w:val="auto"/>
              </w:rPr>
            </w:pPr>
            <w:r>
              <w:rPr>
                <w:rFonts w:ascii="Arial" w:cs="Arial" w:eastAsia="Arial" w:hAnsi="Arial"/>
                <w:sz w:val="14"/>
                <w:szCs w:val="14"/>
                <w:b w:val="1"/>
                <w:bCs w:val="1"/>
                <w:color w:val="auto"/>
              </w:rPr>
              <w:t>in-force</w:t>
            </w:r>
          </w:p>
        </w:tc>
        <w:tc>
          <w:tcPr>
            <w:tcW w:w="80" w:type="dxa"/>
            <w:vAlign w:val="bottom"/>
          </w:tcPr>
          <w:p>
            <w:pPr>
              <w:spacing w:after="0"/>
              <w:rPr>
                <w:sz w:val="15"/>
                <w:szCs w:val="15"/>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gridSpan w:val="2"/>
          </w:tcPr>
          <w:p>
            <w:pPr>
              <w:jc w:val="right"/>
              <w:ind w:right="2"/>
              <w:spacing w:after="0"/>
              <w:rPr>
                <w:sz w:val="20"/>
                <w:szCs w:val="20"/>
                <w:color w:val="auto"/>
              </w:rPr>
            </w:pPr>
            <w:r>
              <w:rPr>
                <w:rFonts w:ascii="Arial" w:cs="Arial" w:eastAsia="Arial" w:hAnsi="Arial"/>
                <w:sz w:val="18"/>
                <w:szCs w:val="18"/>
                <w:color w:val="auto"/>
              </w:rPr>
              <w:t>10,484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98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30,324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15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4,096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44,904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right"/>
              <w:ind w:right="796"/>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6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Delinquencies</w:t>
            </w:r>
          </w:p>
        </w:tc>
        <w:tc>
          <w:tcPr>
            <w:tcW w:w="116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8"/>
              </w:rPr>
              <w:t>Direct case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36"/>
              <w:spacing w:after="0" w:line="142" w:lineRule="exact"/>
              <w:rPr>
                <w:sz w:val="20"/>
                <w:szCs w:val="20"/>
                <w:color w:val="auto"/>
              </w:rPr>
            </w:pPr>
            <w:r>
              <w:rPr>
                <w:rFonts w:ascii="Arial" w:cs="Arial" w:eastAsia="Arial" w:hAnsi="Arial"/>
                <w:sz w:val="14"/>
                <w:szCs w:val="14"/>
                <w:b w:val="1"/>
                <w:bCs w:val="1"/>
                <w:color w:val="auto"/>
              </w:rPr>
              <w:t>Risk</w:t>
            </w:r>
          </w:p>
        </w:tc>
        <w:tc>
          <w:tcPr>
            <w:tcW w:w="80" w:type="dxa"/>
            <w:vAlign w:val="bottom"/>
          </w:tcPr>
          <w:p>
            <w:pPr>
              <w:spacing w:after="0"/>
              <w:rPr>
                <w:sz w:val="12"/>
                <w:szCs w:val="12"/>
                <w:color w:val="auto"/>
              </w:rPr>
            </w:pPr>
          </w:p>
        </w:tc>
        <w:tc>
          <w:tcPr>
            <w:tcW w:w="172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5"/>
        </w:trPr>
        <w:tc>
          <w:tcPr>
            <w:tcW w:w="4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9"/>
                <w:szCs w:val="9"/>
                <w:b w:val="1"/>
                <w:bCs w:val="1"/>
                <w:color w:val="auto"/>
              </w:rPr>
              <w:t>(1)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236"/>
              <w:spacing w:after="0"/>
              <w:rPr>
                <w:sz w:val="20"/>
                <w:szCs w:val="20"/>
                <w:color w:val="auto"/>
              </w:rPr>
            </w:pPr>
            <w:r>
              <w:rPr>
                <w:rFonts w:ascii="Arial" w:cs="Arial" w:eastAsia="Arial" w:hAnsi="Arial"/>
                <w:sz w:val="14"/>
                <w:szCs w:val="14"/>
                <w:b w:val="1"/>
                <w:bCs w:val="1"/>
                <w:color w:val="auto"/>
              </w:rPr>
              <w:t>in-force</w:t>
            </w:r>
          </w:p>
        </w:tc>
        <w:tc>
          <w:tcPr>
            <w:tcW w:w="80" w:type="dxa"/>
            <w:vAlign w:val="bottom"/>
          </w:tcPr>
          <w:p>
            <w:pPr>
              <w:spacing w:after="0"/>
              <w:rPr>
                <w:sz w:val="15"/>
                <w:szCs w:val="15"/>
                <w:color w:val="auto"/>
              </w:rPr>
            </w:pP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3 payments or less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4 - 11 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12 payments or more</w:t>
            </w:r>
          </w:p>
        </w:tc>
        <w:tc>
          <w:tcPr>
            <w:tcW w:w="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loss adjustment expenses, incurred but not reported and reinsurance reserves.</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we have experienced an increase in total missed payments and payments that are delinquent for 4-11 months due in large part to borrowers entering a forbearance plan driven by COVID-19. Forbearance plans may be extended up to 18 months, therefore, it is possible we could experience elevated delinquencies in this aged category during 2021. Resolution of a delinquency in a plan, whether it ultimately results in a cure or a claim, is difficult to estimate and may not be known for several quarters, if not longer.</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the second quarter of 2020, total primary delinquencies started to increase considerably driven primarily by a significant increase in borrower forbearance as a result of COVID-19. We estimated the loss reserve for forbearance delinquencies by applying a claim rate estimate which considers the emergence of cures on forbearance and non-forbearance delinquencies and the ongoing economic impact due to the pandemic. The large volume of additional forbearance delinquencies combined with lower loss expectations on delinquencies subject to a forbearance plan drove the decrease in reserves as a percentage of RIF as of December 31, 2020.</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Primary insurance delinquency rates differ from region to region in the United States at any one time depending upon economic conditions and cyclical growth patterns. Delinquency rates are shown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region based upon the location of the underlying property, rather than the location of the lender. The table below sets forth our primary delinquency rates for the ten largest states by our primary RIF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42</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Michigan</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Ohio </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10" w:lineRule="exact"/>
        <w:rPr>
          <w:rFonts w:ascii="Arial" w:cs="Arial" w:eastAsia="Arial" w:hAnsi="Arial"/>
          <w:sz w:val="16"/>
          <w:szCs w:val="16"/>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District of Columbia</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sets forth our primary delinquency rates for the ten largest Metropolitan Statistical Areas (“MSA”) or Metro Divisions (“MD”) by our primary RIF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 of RIF</w:t>
            </w:r>
          </w:p>
        </w:tc>
        <w:tc>
          <w:tcPr>
            <w:tcW w:w="1660" w:type="dxa"/>
            <w:vAlign w:val="bottom"/>
          </w:tcPr>
          <w:p>
            <w:pPr>
              <w:jc w:val="right"/>
              <w:ind w:right="173"/>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b w:val="1"/>
                <w:bCs w:val="1"/>
                <w:color w:val="auto"/>
              </w:rPr>
              <w:t>Delinquency</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5"/>
                <w:szCs w:val="15"/>
                <w:color w:val="auto"/>
              </w:rPr>
            </w:pPr>
          </w:p>
        </w:tc>
        <w:tc>
          <w:tcPr>
            <w:tcW w:w="1480" w:type="dxa"/>
            <w:vAlign w:val="bottom"/>
          </w:tcPr>
          <w:p>
            <w:pPr>
              <w:jc w:val="right"/>
              <w:ind w:right="42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10.25 %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FF0000"/>
            </w:tcBorders>
            <w:gridSpan w:val="3"/>
          </w:tcPr>
          <w:p>
            <w:pPr>
              <w:jc w:val="right"/>
              <w:spacing w:after="0"/>
              <w:rPr>
                <w:sz w:val="20"/>
                <w:szCs w:val="20"/>
                <w:color w:val="auto"/>
              </w:rPr>
            </w:pPr>
            <w:r>
              <w:rPr>
                <w:rFonts w:ascii="Arial" w:cs="Arial" w:eastAsia="Arial" w:hAnsi="Arial"/>
                <w:sz w:val="18"/>
                <w:szCs w:val="18"/>
                <w:color w:val="auto"/>
              </w:rPr>
              <w:t>7.08 %</w:t>
            </w:r>
          </w:p>
        </w:tc>
        <w:tc>
          <w:tcPr>
            <w:tcW w:w="20" w:type="dxa"/>
            <w:vAlign w:val="bottom"/>
            <w:shd w:val="clear" w:color="auto" w:fill="FF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Dallas, TX MD</w:t>
            </w:r>
          </w:p>
        </w:tc>
        <w:tc>
          <w:tcPr>
            <w:tcW w:w="17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primary delinquency rates for the ten largest MSAs or MDs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right"/>
              <w:ind w:right="193"/>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Chicago-Naperville, IL MD</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 NY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Phoenix, AZ MSA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 GA MSA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Washington-Arlington, DC MD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 WA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Los Angeles-Long Beach, CA MD</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TX MSA</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Riverside-San Bernardino CA MSA</w:t>
            </w:r>
          </w:p>
        </w:tc>
        <w:tc>
          <w:tcPr>
            <w:tcW w:w="17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Nassau County-Suffolk County, NY MD</w:t>
            </w:r>
          </w:p>
        </w:tc>
        <w:tc>
          <w:tcPr>
            <w:tcW w:w="1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The frequency of delinquencies may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extension of credit to bring a loan current, foreclosure forbearance, pre-foreclosure sale and deed-in-lieu. These loss mitigation efforts often are an effective way to reduce our claim exposure and ultimate payouts.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dispersion of primary RIF and direct primary case reserves by policy year and delinquency rates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0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3 %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16.82 %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0.95 %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0.82 %</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5.46 %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2018</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14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7.70 %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the dispersion of primary RIF and loss reserves by policy year and delinquency rates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10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rPr>
              <w:t>of RIF</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14.62 %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2018</w:t>
            </w:r>
          </w:p>
        </w:tc>
        <w:tc>
          <w:tcPr>
            <w:tcW w:w="11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4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23"/>
        </w:trPr>
        <w:tc>
          <w:tcPr>
            <w:tcW w:w="5420" w:type="dxa"/>
            <w:vAlign w:val="bottom"/>
            <w:gridSpan w:val="2"/>
          </w:tcPr>
          <w:p>
            <w:pPr>
              <w:ind w:left="240"/>
              <w:spacing w:after="0"/>
              <w:rPr>
                <w:sz w:val="20"/>
                <w:szCs w:val="20"/>
                <w:color w:val="auto"/>
              </w:rPr>
            </w:pPr>
            <w:r>
              <w:rPr>
                <w:rFonts w:ascii="Arial" w:cs="Arial" w:eastAsia="Arial" w:hAnsi="Arial"/>
                <w:sz w:val="18"/>
                <w:szCs w:val="18"/>
                <w:color w:val="auto"/>
              </w:rPr>
              <w:t>Total portfolio</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 a result of COVID-19 given their significant representation of RIF. As of December 31, 2020, our 2013 and newer policy years represented approximately 94% of our primary RIF and 71% of our total direct primary case reserves.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15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71" w:lineRule="exact"/>
        <w:rPr>
          <w:rFonts w:ascii="Arial" w:cs="Arial" w:eastAsia="Arial" w:hAnsi="Arial"/>
          <w:sz w:val="18"/>
          <w:szCs w:val="18"/>
          <w:color w:val="auto"/>
        </w:rPr>
      </w:pPr>
    </w:p>
    <w:p>
      <w:pPr>
        <w:ind w:left="340" w:right="4520" w:hanging="8"/>
        <w:spacing w:after="0" w:line="464" w:lineRule="auto"/>
        <w:tabs>
          <w:tab w:leader="none" w:pos="659"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Increase value to our Parent and its stockholders, among other objectives. To achieve our portfolio objectives, our investment strategy focuses primarily on:</w:t>
      </w: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2"/>
                <w:szCs w:val="12"/>
                <w:color w:val="auto"/>
              </w:rPr>
            </w:pPr>
          </w:p>
        </w:tc>
        <w:tc>
          <w:tcPr>
            <w:tcW w:w="2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jc w:val="right"/>
              <w:ind w:right="601"/>
              <w:spacing w:after="0" w:line="142"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5"/>
        </w:trPr>
        <w:tc>
          <w:tcPr>
            <w:tcW w:w="4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000" w:type="dxa"/>
            <w:vAlign w:val="bottom"/>
          </w:tcPr>
          <w:p>
            <w:pPr>
              <w:jc w:val="right"/>
              <w:ind w:right="6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45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U.S. government, agencies and government-sponsored</w:t>
            </w: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enterprises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138,224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187,377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98,159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government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2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2,888,625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2,261,446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corporate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607,669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asset-backed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1,193,670</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928,588</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available-for-sale fixed maturity securities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5,046,596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3,764,432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investment portfolio did not include any direct residential real estate or whole mortgage loans as of December 31, 2020 and December 31, 2019. We have no derivative financial instruments in our investment portfolio.</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and December 31, 2019, 98% and 99% of our investment portfolio was rated investment grade. The following table presents the security ratings of our fixed maturity securities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7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AA</w:t>
            </w: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12.0</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7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BBB</w:t>
            </w: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1720" w:type="dxa"/>
            <w:vAlign w:val="bottom"/>
          </w:tcPr>
          <w:p>
            <w:pPr>
              <w:jc w:val="right"/>
              <w:ind w:right="155"/>
              <w:spacing w:after="0"/>
              <w:rPr>
                <w:sz w:val="20"/>
                <w:szCs w:val="20"/>
                <w:color w:val="auto"/>
              </w:rPr>
            </w:pPr>
            <w:r>
              <w:rPr>
                <w:rFonts w:ascii="Arial" w:cs="Arial" w:eastAsia="Arial" w:hAnsi="Arial"/>
                <w:sz w:val="18"/>
                <w:szCs w:val="18"/>
                <w:color w:val="auto"/>
              </w:rPr>
              <w:t>39.3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&amp; below</w:t>
            </w:r>
          </w:p>
        </w:tc>
        <w:tc>
          <w:tcPr>
            <w:tcW w:w="1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effective duration and investment yield on our investments available-for-sale, excluding cash and cash equivalents as of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77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Duration (in years)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Pre-tax yield (% of average investment portfolio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cash flows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704,350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314"/>
              <w:spacing w:after="0"/>
              <w:rPr>
                <w:sz w:val="20"/>
                <w:szCs w:val="20"/>
                <w:color w:val="auto"/>
              </w:rPr>
            </w:pPr>
            <w:r>
              <w:rPr>
                <w:rFonts w:ascii="Arial" w:cs="Arial" w:eastAsia="Arial" w:hAnsi="Arial"/>
                <w:sz w:val="18"/>
                <w:szCs w:val="18"/>
                <w:color w:val="auto"/>
                <w:w w:val="98"/>
              </w:rPr>
              <w:t>500,020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8"/>
              </w:rPr>
              <w:t>175,987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rPr>
              <w:t>(250,000)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8"/>
              </w:rPr>
              <w:t>426,007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from higher premiums received from a larger IIF balance and lower claims paid in the current year.</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Investing activities are primarily related to purchases, sales, and maturities of our investment portfolio. We had cash outflows from investing activities in 2020 primarily as a result of purchases of fixed maturity securities using net proceeds from the December 2019 sale of our investment in Genworth Canada and our operating cash flows, partially offset by higher maturities and sales of our fixed maturity securities. We had cash inflows from investing activities in 2019 primarily from the sale of our investment in Genworth Canada, partially offset by net purchases of fixed maturity securities.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Financing activities in 2020 reflect $ 738 million net proceeds from the issuance of our 2025 Senior Notes, discussed below, partially offset by a $437 million dividend paid to our Parent from the net proceeds of the offering. We paid dividends of $250 million in 2019. The amount and timing of future dividends will depend on the economic recovery from COVID-19, among other factors as described below.</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 and Financing Activities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GSE Restrictions, we are required to retain $300 million of our holding company cash that can be drawn down exclusively for our debt service or to contribute to GMICO to meet its regulatory capital needs including PMIERs. See “—Trends and Conditions” for additional information regarding the GSE Restrictions.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are categorized as distributions. Notice of all dividends must be submitted to the Commissioner of the NCDOI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regulated insurance operating subsidiaries currently have capacity to pay dividends from unassigned surplus of $ 199 million in 2021, with GMICO comprising $197 million of the unassigned surplus,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implemented the PMIERs Amendment, which requires our approved insurer (GMICO) to obtain the GSEs’ prior written consent through June 30, 2021 before paying any dividends. In addition, prior to the satisfaction of the GSE Conditions, the GSE Restrictions require GMICO to maintain 115% of PMIERs Minimum Required Assets through 2021, 120% during 2022 and 125% thereafter. We may become subject to additional requirements or conditions imposed by the GSEs, which directly or indirectly could impair the ability of GMICO to pay dividends to us. See “Regulation—United States Insurance Regulation— Insurance Holding Company Regulation”.</w:t>
      </w:r>
    </w:p>
    <w:p>
      <w:pPr>
        <w:spacing w:after="0" w:line="15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we review multiple other considerations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 If, however, incurred losses and incurred loss expenses continue to grow due to COVID-19 and exceed 35% of net earned premium, we may seek approval for a contingency reserve release.</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12.3:1 and 12.5:1 as of December 31, 2020 and 2019, respectively,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for additional RTC trend analysis.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prevailing business conditions including, but not limited to the prevailing and future macroeconomic conditions. In addition, the dividend strategies of our regulated operating subsidiaries are made in consultation with our Parent.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2020, GMICO’s RTC ratio was approximately 12.3:1, compared to 12.5:1 as of December 31, 2019. This RTC ratio remains below the NCDOI’s maximum RTC ratio of 25:1.</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7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66"/>
        </w:trPr>
        <w:tc>
          <w:tcPr>
            <w:tcW w:w="7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policyholders' surplus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statutory capital</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Adjusted RIF</w:t>
            </w:r>
            <w:r>
              <w:rPr>
                <w:rFonts w:ascii="Arial" w:cs="Arial" w:eastAsia="Arial" w:hAnsi="Arial"/>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49,104</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44,832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Adjusted RIF for purposes of calculating combined statutory RTC differs from RIF presented elsewhere in this prospectus. In accordance with NCDOI requirements, adjusted RIF excludes delinquent policies.</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2020, we maintained liquidity in the form of cash and cash equivalents of $453 million compared to $585 million as of December 31, 2019, and we also held significant levels of investment-grade fixed maturity securities that can be monetized should our cash and cash equivalents be insufficient to meet our obligations. On August 21, 2020, we issued the 2025 Senior Notes. The GSE Restrictions require us to retain $300 million of our holding company cash that can be drawn down exclusively for our debt service or to contribute to GMICO to meet its regulatory capital needs including PMIERs, until the GSE Conditions are satisfied. See “—Trends and Conditions” for additional details. We distributed $437 million of the net proceeds to Genworth Holdings, Inc.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claim payments, operating expenses and taxes. However, our subsidiaries are subject to regulatory and other capital restrictions with respect to the payment of dividends. The $300 million of the net proceeds of the 2025 Senior Notes offering retained by GMHI comprises substantially all of the cash and cash equivalents held directly by GMHI and initially available to pay interest on the 2025 Senior Notes. To the extent the $300 million of net proceeds retained from the offering is used to provide capital support to GMICO, the GSEs and the NCDOI may seek to prevent GMICO from returning that capital to GMHI in the form of a dividend, distribution or an intercompany loan. In addition, with certain exceptions, the settlement agreement between our Parent and AXA S.A. (“AXA”) requires proceeds from any future debt and equity issuance by us and/or our subsidiaries to be used to prepay the secured promissory note issued by our Parent to AXA (as amended, the “Promissory Note”). Therefore, we are limited in our ability to finance our capital needs from debt and equity offerings until the Promissory Note is fully repaid. See Note 1 in our consolidated financial statements for additional information. We currently have no material financing commitments, such as lines of credit or guarantees, that are expected to affect our liquidity over the next five years, other than the 2025 Senior Notes.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our Parent.</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ratings have been independently assigned by third-party rating organizations and represent our current ratings, which are subject to change. On August 19, 2020, Moody’s affirmed the “Baa3” (Adequate) insurance financial strength (“IFS”) rating and stable outlook of GMICO. Additionally, Moody’s assigned a “Ba3” issuer rating to GMHI. On August 19, 2020, Fitch assigned a “BBB-” IFS rating to GMICO with a stable outlook and assigned a “BB” issuer default rating to GMHI. On November 20, 2020, Standard &amp; Poor’s affirmed its “BB+” long-term financial strength and issuer credit rating of GMICO with an outlook of Creditwatch Negative.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sufficiency ratios of our operating companies are not designed to be, and do not serve as, measures of protection or valuation offered to investors. The financial strength ratings of our operating subsidiaries may also be impacted by the strength of our Parent. See “Risk Factors—Risks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2"/>
                <w:szCs w:val="12"/>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Less than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6"/>
              <w:spacing w:after="0" w:line="176"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Borrowings and Interest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47,938</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Estimated loss reserves </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1,535,784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130,536</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payments of principal and interest on our long-term borrowings.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the undiscounted lease payments required under our operating leases. The related operating lease liability is recorded in our consolidated balance sheet net of imputed interest of $5.5 million. See Note 2 to our consolidated financial statements for additional information related to operating leases.</w:t>
      </w:r>
    </w:p>
    <w:p>
      <w:pPr>
        <w:spacing w:after="0" w:line="1" w:lineRule="exact"/>
        <w:rPr>
          <w:rFonts w:ascii="Arial" w:cs="Arial" w:eastAsia="Arial" w:hAnsi="Arial"/>
          <w:sz w:val="16"/>
          <w:szCs w:val="16"/>
          <w:color w:val="auto"/>
        </w:rPr>
      </w:pPr>
    </w:p>
    <w:p>
      <w:pPr>
        <w:jc w:val="both"/>
        <w:ind w:left="340" w:hanging="332"/>
        <w:spacing w:after="0" w:line="251"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estimate of loss reserves reflects the application of accounting policies described in Note 2 in our consolidated financial statements. The payments due by period are based on management’s estimates and assume that all of the loss reserves included in the table will result in payments. Due to the significance of assumptions used in management’s estimates, the amounts presented could materially differ from actual results. See Note 5 in our consolidated financial statements for additional information on our loss reserves.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2 in our consolidated financial statements for a discussion of recently adopted and not yet adopted accounting standards.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130" w:lineRule="exact"/>
        <w:rPr>
          <w:sz w:val="20"/>
          <w:szCs w:val="20"/>
          <w:color w:val="auto"/>
        </w:rPr>
      </w:pPr>
    </w:p>
    <w:p>
      <w:pPr>
        <w:jc w:val="both"/>
        <w:ind w:left="660" w:hanging="328"/>
        <w:spacing w:after="0" w:line="25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9" w:lineRule="exact"/>
        <w:rPr>
          <w:sz w:val="20"/>
          <w:szCs w:val="20"/>
          <w:color w:val="auto"/>
        </w:rPr>
      </w:pPr>
    </w:p>
    <w:p>
      <w:pPr>
        <w:ind w:left="660" w:hanging="328"/>
        <w:spacing w:after="0" w:line="28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may have unforeseen impacts on the value of certain assets.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Market volatility/changes in the real or perceived credit quality of investments</w:t>
      </w:r>
      <w:r>
        <w:rPr>
          <w:rFonts w:ascii="Arial" w:cs="Arial" w:eastAsia="Arial" w:hAnsi="Arial"/>
          <w:sz w:val="18"/>
          <w:szCs w:val="18"/>
          <w:color w:val="auto"/>
        </w:rPr>
        <w:t>. 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Concentration Risk</w:t>
      </w:r>
      <w:r>
        <w:rPr>
          <w:rFonts w:ascii="Arial" w:cs="Arial" w:eastAsia="Arial" w:hAnsi="Arial"/>
          <w:sz w:val="18"/>
          <w:szCs w:val="18"/>
          <w:color w:val="auto"/>
        </w:rPr>
        <w:t>. If the investment portfolio is highly concentrated in one asset, or in multiple assets whose values are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correlated, the value of the total portfolio may be greatly affected by the change in value of just one asset or a group of highly correlated assets.</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occurs when rates fall below the interest rate of the debt.</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December 31, 2020, the effective duration of our investments available-for-sale was 3.4 years, which means that an instantaneous parallel shift (movement up or down) in the yield curve of 100 basis points would result in a change of 3.4% in fair value of our investments available-for-sale. Excluding cash and cash equivalents, the effective duration on our investments available-for-sale was 3.4 years, which means that an instantaneous parallel shift (movement up or down) in the yield curve of 100 basis points would result in a change of 3.4% in fair value of our investments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years ended December 31, 2020 and 2019, we generated NIW of $99.9 billion and $62.4 billion, respectively. Our market share for the same periods was approximately 16.6% and 16.3% respectively. Net income was $370 million and $678 million in 2020 and 2019, respectively. Adjusted operating income was $373 million and $562 million for 2020 and 2019, respectively. Our 2020 results of operations were impacted by increased loss reserves related to COVID-19.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both 2019 and 2020, we provided new insurance coverage to approximately 1,800 customers, including 19 of the top 20 mortgage lenders as measured by total 2019 and 2020 mortgage originations (according to </w:t>
      </w:r>
      <w:r>
        <w:rPr>
          <w:rFonts w:ascii="Arial" w:cs="Arial" w:eastAsia="Arial" w:hAnsi="Arial"/>
          <w:sz w:val="18"/>
          <w:szCs w:val="18"/>
          <w:i w:val="1"/>
          <w:iCs w:val="1"/>
          <w:color w:val="auto"/>
        </w:rPr>
        <w:t>Inside</w:t>
      </w:r>
      <w:r>
        <w:rPr>
          <w:rFonts w:ascii="Arial" w:cs="Arial" w:eastAsia="Arial" w:hAnsi="Arial"/>
          <w:sz w:val="18"/>
          <w:szCs w:val="18"/>
          <w:color w:val="auto"/>
        </w:rPr>
        <w:t xml:space="preserve"> </w:t>
      </w:r>
      <w:r>
        <w:rPr>
          <w:rFonts w:ascii="Arial" w:cs="Arial" w:eastAsia="Arial" w:hAnsi="Arial"/>
          <w:sz w:val="18"/>
          <w:szCs w:val="18"/>
          <w:i w:val="1"/>
          <w:iCs w:val="1"/>
          <w:color w:val="auto"/>
        </w:rPr>
        <w:t>Mortgage Finance</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compliance with PMIERs and state regulatory standards compliance. We have enhanced our balance sheet in recent years as we transformed our business model from a “buy and hold” strategy to an “acquire, manage and distribute”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December 31, 2020, we had a published PMIERs sufficiency ratio of 137%, representing $1,229 million of available assets above the published PMIERs requirement and approximately 94% of our insured portfolio was covered by our CRT program. Our PMIERs sufficiency ratio, which is based on the published requirements applicable to private mortgage insurers, was above the requirement imposed by the GSE Restrictions (as defined herein) that required us to maintain a PMIERs sufficiency ratio of 115%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demand for mortgage insurance is strong and has remained resilient even in the face of the COVID-19 pandemic providing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pandemic, and we expect them to persist. Throughout 2020 and continuing in early 2021, the immediate and sizeable application of government stimulus and forbearance availability along with other government programs have provided key support to the housing market throughout the COVID-19 pandemic. For the full year 2020, industry NIW was $600 billion, up 56% compared with the full year 2019.</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2" w:lineRule="exact"/>
        <w:rPr>
          <w:sz w:val="20"/>
          <w:szCs w:val="20"/>
          <w:color w:val="auto"/>
        </w:rPr>
      </w:pPr>
    </w:p>
    <w:p>
      <w:pPr>
        <w:ind w:left="66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102"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 year mortgages fell by just over two percentage points from the end of 2018 to the fourth quarter of 2020. Interest rates decreased over the course of 2020, as average rates on 30-year mortgages fell to 2.76% in the fourth quarter of 2020 from 3.52% in the first quarter of 2020. The National Association of Realtors Housing Affordability Index, which measures the ability of the median income homebuyer to make mortgage payments on the median-priced United States home, increased to 170 in December 2020 from 158 in 2017. The 30-year mortgage rate has increased to above 3% more recently according to Inside Mortgage Finance, but remains at historically low levels.</w:t>
      </w:r>
    </w:p>
    <w:p>
      <w:pPr>
        <w:spacing w:after="0" w:line="130" w:lineRule="exact"/>
        <w:rPr>
          <w:rFonts w:ascii="Arial" w:cs="Arial" w:eastAsia="Arial" w:hAnsi="Arial"/>
          <w:sz w:val="18"/>
          <w:szCs w:val="18"/>
          <w:color w:val="auto"/>
        </w:rPr>
      </w:pPr>
    </w:p>
    <w:p>
      <w:pPr>
        <w:jc w:val="both"/>
        <w:ind w:left="980" w:hanging="324"/>
        <w:spacing w:after="0" w:line="258"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 which has helped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strong consumer confidence in the housing market. Housing prices nationally increased 11.4% year-over-year in December 2020 according to the FHFA House Price Index for home purchase loans, illustrating the continued strength and resiliency of the housing market. Among other drivers, housing prices have been supported by an ongoing low supply of homes for sale in many parts of the country.</w:t>
      </w:r>
    </w:p>
    <w:p>
      <w:pPr>
        <w:spacing w:after="0" w:line="129" w:lineRule="exact"/>
        <w:rPr>
          <w:rFonts w:ascii="Arial" w:cs="Arial" w:eastAsia="Arial" w:hAnsi="Arial"/>
          <w:sz w:val="18"/>
          <w:szCs w:val="18"/>
          <w:color w:val="auto"/>
        </w:rPr>
      </w:pPr>
    </w:p>
    <w:p>
      <w:pPr>
        <w:jc w:val="both"/>
        <w:ind w:left="980" w:hanging="324"/>
        <w:spacing w:after="0" w:line="253"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 2020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During 2020, FTHBs purchased 2.4 million homes, 14% more than in 2019. The fourth quarter of 2020 saw approximately 657,000 homes purchased by FTHBs, up 26% compared to the fourth quarter of 2019. During the fourth quarter of 2020, the percentage of home sales to FTHBs was 40%, an increase of 0.3 percentage points from the third quarter. The rate of homeownership showed a seasonal decline in the fourth quarter of 2020 to 65.8% but remained 0.7 percentage points higher than the same period in 2019. We expect these demographic forces to remain strong as the COVID-19 pandemic is an additional driver for demand in homeownership in an environment that has become more accepting of work-from-home arrangements.</w:t>
      </w:r>
    </w:p>
    <w:p>
      <w:pPr>
        <w:spacing w:after="0" w:line="137" w:lineRule="exact"/>
        <w:rPr>
          <w:rFonts w:ascii="Arial" w:cs="Arial" w:eastAsia="Arial" w:hAnsi="Arial"/>
          <w:sz w:val="18"/>
          <w:szCs w:val="18"/>
          <w:color w:val="auto"/>
        </w:rPr>
      </w:pPr>
    </w:p>
    <w:p>
      <w:pPr>
        <w:ind w:left="980" w:hanging="324"/>
        <w:spacing w:after="0" w:line="282" w:lineRule="auto"/>
        <w:tabs>
          <w:tab w:leader="none" w:pos="975"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were 11% higher for 2020 compared to 2019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7" w:lineRule="exact"/>
        <w:rPr>
          <w:sz w:val="20"/>
          <w:szCs w:val="20"/>
          <w:color w:val="auto"/>
        </w:rPr>
      </w:pPr>
    </w:p>
    <w:p>
      <w:pPr>
        <w:ind w:left="648"/>
        <w:spacing w:after="0" w:line="261" w:lineRule="auto"/>
        <w:rPr>
          <w:sz w:val="20"/>
          <w:szCs w:val="20"/>
          <w:color w:val="auto"/>
        </w:rPr>
      </w:pPr>
      <w:r>
        <w:rPr>
          <w:rFonts w:ascii="Arial" w:cs="Arial" w:eastAsia="Arial" w:hAnsi="Arial"/>
          <w:sz w:val="18"/>
          <w:szCs w:val="18"/>
          <w:color w:val="auto"/>
        </w:rPr>
        <w:t>experienced year-over-year gains every week starting from June, according to the MBA. Purchase applications were 24% higher for the fourth quarter of 2020 compared to the same quarter in 2019.</w:t>
      </w:r>
    </w:p>
    <w:p>
      <w:pPr>
        <w:spacing w:after="0" w:line="144" w:lineRule="exact"/>
        <w:rPr>
          <w:sz w:val="20"/>
          <w:szCs w:val="20"/>
          <w:color w:val="auto"/>
        </w:rPr>
      </w:pPr>
    </w:p>
    <w:p>
      <w:pPr>
        <w:ind w:left="648"/>
        <w:spacing w:after="0" w:line="261" w:lineRule="auto"/>
        <w:rPr>
          <w:sz w:val="20"/>
          <w:szCs w:val="20"/>
          <w:color w:val="auto"/>
        </w:rPr>
      </w:pPr>
      <w:r>
        <w:rPr>
          <w:rFonts w:ascii="Arial" w:cs="Arial" w:eastAsia="Arial" w:hAnsi="Arial"/>
          <w:sz w:val="18"/>
          <w:szCs w:val="18"/>
          <w:color w:val="auto"/>
        </w:rPr>
        <w:t>Given the current economic environment, the MBA projects that purchase originations will continue to grow from $1.4 trillion in 2020 to approximately $1.6 trillion for 2022 while Fannie, Mae expects $1.8 trillion in purchase originations in 2022.</w:t>
      </w:r>
    </w:p>
    <w:p>
      <w:pPr>
        <w:spacing w:after="0" w:line="126" w:lineRule="exact"/>
        <w:rPr>
          <w:sz w:val="20"/>
          <w:szCs w:val="20"/>
          <w:color w:val="auto"/>
        </w:rPr>
      </w:pPr>
    </w:p>
    <w:p>
      <w:pPr>
        <w:jc w:val="both"/>
        <w:ind w:left="648" w:hanging="324"/>
        <w:spacing w:after="0" w:line="254" w:lineRule="auto"/>
        <w:tabs>
          <w:tab w:leader="none" w:pos="643" w:val="left"/>
        </w:tabs>
        <w:numPr>
          <w:ilvl w:val="2"/>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CARES Act and other government and GSE policies enacted in response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borrowers broadly have had access to forbearance and foreclosure moratoria programs that allow borrowers to remain in their homes and delay principal and interest payments for up to 18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payments by borrowers would reduce our actual loss exposure. In the wake of the COVID-19 pandemic, forbearance rates peaked at 7.1% as of May 26, 2020 and have since steadily declined according to data provided by Black Knight. As of March 9, 2021, 3.1% of all GSE mortgages were in forbearance according to Black Knight.</w:t>
      </w:r>
    </w:p>
    <w:p>
      <w:pPr>
        <w:spacing w:after="0" w:line="130"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 mortgages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recent 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has remained strong. The industry’s NIW mix of above-740 FICO borrowers held constant at 63% to 65% throughout 2020. Similarly, the mix of below-680 FICO borrowers remained constant at 4% throughout 2020.</w:t>
      </w:r>
    </w:p>
    <w:p>
      <w:pPr>
        <w:spacing w:after="0" w:line="128" w:lineRule="exact"/>
        <w:rPr>
          <w:rFonts w:ascii="Arial" w:cs="Arial" w:eastAsia="Arial" w:hAnsi="Arial"/>
          <w:sz w:val="18"/>
          <w:szCs w:val="18"/>
          <w:color w:val="auto"/>
        </w:rPr>
      </w:pPr>
    </w:p>
    <w:p>
      <w:pPr>
        <w:jc w:val="both"/>
        <w:ind w:left="328" w:hanging="247"/>
        <w:spacing w:after="0" w:line="259" w:lineRule="auto"/>
        <w:tabs>
          <w:tab w:leader="none" w:pos="323"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private mortgage insurers have used CRT alternatives to reinsure or otherwise transfer risk to third parties. The industry uses both traditional reinsurance as well as MILNs. According to U.S. Mortgage Insurers, as of October 2020 private mortgage insurers have transferred approximately $29 billion of risk to traditional reinsurers through QS and XOL transactions and transferred almost $12.3 billion of risk to the capital markets through MILN transactions since 2015.</w:t>
      </w:r>
    </w:p>
    <w:p>
      <w:pPr>
        <w:spacing w:after="0" w:line="147" w:lineRule="exact"/>
        <w:rPr>
          <w:rFonts w:ascii="Arial" w:cs="Arial" w:eastAsia="Arial" w:hAnsi="Arial"/>
          <w:sz w:val="18"/>
          <w:szCs w:val="18"/>
          <w:color w:val="auto"/>
        </w:rPr>
      </w:pPr>
    </w:p>
    <w:p>
      <w:pPr>
        <w:jc w:val="both"/>
        <w:ind w:left="328"/>
        <w:spacing w:after="0" w:line="254"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manage and distribute”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127"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 insurance has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penetration as a result of the introduction of new GSE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08"/>
          </w:cols>
          <w:pgMar w:left="652" w:top="1440" w:right="339" w:bottom="1440" w:gutter="0" w:footer="0" w:header="0"/>
        </w:sectPr>
      </w:pPr>
    </w:p>
    <w:bookmarkStart w:id="121" w:name="page122"/>
    <w:bookmarkEnd w:id="121"/>
    <w:p>
      <w:pPr>
        <w:spacing w:after="0" w:line="15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products designed to serve Low-Down Payment Loan borrowers and more competitive pricing by private mortgage insurers relative to the FHA. In 2020, the FHA insured 26% of all new Low-Down Payment Loan originations with private mortgage insurance insuring 52%. Also, in 2018 and 2019, private mortgage insurance helped to finance more FTHBs than the FHA. We believe there may be additional opportunities for private mortgage insurers to increase market share by providing risk and capital relief for lender portfolios and loans supporting private MBS.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 long-standing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enduring relationships with approximately 1,800 active customers across the mortgage origination market, including with national banks, non-bank mortgage lenders, local mortgage bankers, community banks and credit unions. Approximately 92% of our NIW in 2020 was from customers who have submitted loans to us every year since 2016.</w:t>
      </w:r>
    </w:p>
    <w:p>
      <w:pPr>
        <w:spacing w:after="0" w:line="144"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1"/>
          <w:numId w:val="65"/>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1" w:lineRule="exact"/>
        <w:rPr>
          <w:rFonts w:ascii="Arial" w:cs="Arial" w:eastAsia="Arial" w:hAnsi="Arial"/>
          <w:sz w:val="18"/>
          <w:szCs w:val="18"/>
          <w:color w:val="auto"/>
        </w:rPr>
      </w:pPr>
    </w:p>
    <w:p>
      <w:pPr>
        <w:jc w:val="both"/>
        <w:ind w:left="1300" w:hanging="320"/>
        <w:spacing w:after="0" w:line="255" w:lineRule="auto"/>
        <w:tabs>
          <w:tab w:leader="none" w:pos="1295"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 distinguished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134" w:lineRule="exact"/>
        <w:rPr>
          <w:rFonts w:ascii="Arial" w:cs="Arial" w:eastAsia="Arial" w:hAnsi="Arial"/>
          <w:sz w:val="18"/>
          <w:szCs w:val="18"/>
          <w:color w:val="auto"/>
        </w:rPr>
      </w:pPr>
    </w:p>
    <w:p>
      <w:pPr>
        <w:jc w:val="both"/>
        <w:ind w:left="1300" w:hanging="320"/>
        <w:spacing w:after="0" w:line="266" w:lineRule="auto"/>
        <w:tabs>
          <w:tab w:leader="none" w:pos="1295"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ind w:left="1300" w:hanging="320"/>
        <w:spacing w:after="0" w:line="282" w:lineRule="auto"/>
        <w:tabs>
          <w:tab w:leader="none" w:pos="1295" w:val="left"/>
        </w:tabs>
        <w:numPr>
          <w:ilvl w:val="2"/>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unique offerings, including strategy and process consulting services and differentiated borrower-centric products.</w:t>
      </w:r>
    </w:p>
    <w:p>
      <w:pPr>
        <w:spacing w:after="0" w:line="10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December 31, 2020, we had $208 billion IIF as compared to $182 billion as of December 31, 2019.</w:t>
      </w:r>
      <w:r>
        <w:rPr>
          <w:rFonts w:ascii="Arial" w:cs="Arial" w:eastAsia="Arial" w:hAnsi="Arial"/>
          <w:sz w:val="18"/>
          <w:szCs w:val="18"/>
          <w:b w:val="1"/>
          <w:bCs w:val="1"/>
          <w:color w:val="auto"/>
        </w:rPr>
        <w:t xml:space="preserve"> </w:t>
      </w:r>
      <w:r>
        <w:rPr>
          <w:rFonts w:ascii="Arial" w:cs="Arial" w:eastAsia="Arial" w:hAnsi="Arial"/>
          <w:sz w:val="18"/>
          <w:szCs w:val="18"/>
          <w:color w:val="auto"/>
        </w:rPr>
        <w:t>Since January 1, 2019, we have generated $162 billion of NIW with an average market share of 16.5% and have grown our IIF 25% over the same time period. The growth in our IIF has resulted in premiums earned growing from $856 million for the twelve months ended December 31, 2019 to $971 million for the twelve months ended December 31, 2020. We believe our portfolio has significant embedded value potential and creates a strong foundation for future premiums.</w:t>
      </w:r>
    </w:p>
    <w:p>
      <w:pPr>
        <w:spacing w:after="0" w:line="1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w:t>
      </w:r>
      <w:r>
        <w:rPr>
          <w:rFonts w:ascii="Arial" w:cs="Arial" w:eastAsia="Arial" w:hAnsi="Arial"/>
          <w:sz w:val="18"/>
          <w:szCs w:val="18"/>
          <w:b w:val="1"/>
          <w:bCs w:val="1"/>
          <w:color w:val="auto"/>
        </w:rPr>
        <w:t xml:space="preserve"> </w:t>
      </w:r>
      <w:r>
        <w:rPr>
          <w:rFonts w:ascii="Arial" w:cs="Arial" w:eastAsia="Arial" w:hAnsi="Arial"/>
          <w:sz w:val="18"/>
          <w:szCs w:val="18"/>
          <w:color w:val="auto"/>
        </w:rPr>
        <w:t>strong approach to onboarding risk backed by decades of loan-level performance data and experience in the mortgage insurance industry. We ensure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7" w:lineRule="exact"/>
        <w:rPr>
          <w:sz w:val="20"/>
          <w:szCs w:val="20"/>
          <w:color w:val="auto"/>
        </w:rPr>
      </w:pPr>
    </w:p>
    <w:p>
      <w:pPr>
        <w:jc w:val="both"/>
        <w:ind w:left="328"/>
        <w:spacing w:after="0" w:line="252" w:lineRule="auto"/>
        <w:rPr>
          <w:sz w:val="20"/>
          <w:szCs w:val="20"/>
          <w:color w:val="auto"/>
        </w:rPr>
      </w:pPr>
      <w:r>
        <w:rPr>
          <w:rFonts w:ascii="Arial" w:cs="Arial" w:eastAsia="Arial" w:hAnsi="Arial"/>
          <w:sz w:val="18"/>
          <w:szCs w:val="18"/>
          <w:color w:val="auto"/>
        </w:rPr>
        <w:t>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54" w:lineRule="exact"/>
        <w:rPr>
          <w:sz w:val="20"/>
          <w:szCs w:val="20"/>
          <w:color w:val="auto"/>
        </w:rPr>
      </w:pPr>
    </w:p>
    <w:p>
      <w:pPr>
        <w:jc w:val="both"/>
        <w:ind w:left="328"/>
        <w:spacing w:after="0" w:line="252" w:lineRule="auto"/>
        <w:rPr>
          <w:sz w:val="20"/>
          <w:szCs w:val="20"/>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December 31, 2020, none of our RIF had three or more Risk Layers, 0.3% of our RIF had two Risk Layers and 1.0% of our RIF had one Risk Layer. For our NIW for the year ended December 31, 2020, only .04% of our High-Risk Loans had one or more of these added Risk Layers.</w:t>
      </w:r>
    </w:p>
    <w:p>
      <w:pPr>
        <w:spacing w:after="0" w:line="153"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86% of our delinquent PIFs and 75% of all PIFs have a mark to market LTV of less than or equal to 90%. With so many borrowers having significant equity in their home, we believe this provides an additional risk mitigant as borrowers will work to maintain their equity and avoid foreclosure.</w:t>
      </w:r>
    </w:p>
    <w:p>
      <w:pPr>
        <w:spacing w:after="0" w:line="128" w:lineRule="exact"/>
        <w:rPr>
          <w:sz w:val="20"/>
          <w:szCs w:val="20"/>
          <w:color w:val="auto"/>
        </w:rPr>
      </w:pPr>
    </w:p>
    <w:p>
      <w:pPr>
        <w:jc w:val="both"/>
        <w:ind w:left="328" w:hanging="328"/>
        <w:spacing w:after="0" w:line="262"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 portfolio that</w:t>
      </w:r>
      <w:r>
        <w:rPr>
          <w:rFonts w:ascii="Arial" w:cs="Arial" w:eastAsia="Arial" w:hAnsi="Arial"/>
          <w:sz w:val="18"/>
          <w:szCs w:val="18"/>
          <w:b w:val="1"/>
          <w:bCs w:val="1"/>
          <w:color w:val="auto"/>
        </w:rPr>
        <w:t xml:space="preserve"> </w:t>
      </w:r>
      <w:r>
        <w:rPr>
          <w:rFonts w:ascii="Arial" w:cs="Arial" w:eastAsia="Arial" w:hAnsi="Arial"/>
          <w:sz w:val="18"/>
          <w:szCs w:val="18"/>
          <w:color w:val="auto"/>
        </w:rPr>
        <w:t>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49" w:lineRule="exact"/>
        <w:rPr>
          <w:rFonts w:ascii="Arial" w:cs="Arial" w:eastAsia="Arial" w:hAnsi="Arial"/>
          <w:sz w:val="18"/>
          <w:szCs w:val="18"/>
          <w:color w:val="auto"/>
        </w:rPr>
      </w:pPr>
    </w:p>
    <w:p>
      <w:pPr>
        <w:jc w:val="both"/>
        <w:ind w:left="648" w:hanging="324"/>
        <w:spacing w:after="0" w:line="256"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Since 2015, we have executed CRT transactions on $2.5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147" w:lineRule="exact"/>
        <w:rPr>
          <w:rFonts w:ascii="Arial" w:cs="Arial" w:eastAsia="Arial" w:hAnsi="Arial"/>
          <w:sz w:val="18"/>
          <w:szCs w:val="18"/>
          <w:color w:val="auto"/>
        </w:rPr>
      </w:pPr>
    </w:p>
    <w:p>
      <w:pPr>
        <w:jc w:val="both"/>
        <w:ind w:left="648" w:hanging="324"/>
        <w:spacing w:after="0" w:line="252"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 of December 31, 2020, 94% of our RIF is covered under our current CRT program, and we estimate our book year reinsurance transactions generally begin transferring losses at an approximate 30% lifetime book year loss ratio and extend up to an approximate 70% lifetime book year loss ratio, depending on our co-participation level within the reinsurance tier. As of December 31, 2020, we maintain $1.4 billion of reinsurance protection outstanding on our 2009 to 2020 book years, providing $936 million of PMIERs capital support, which does not include the $495 million transaction with Triangle Re 2021-1 completed on March 2, 2021. See “Business—Credit Risk Transfer.” We plan to continue to utilize CRT transactions to effectively manage our through-the-cycle risk and return profile.</w:t>
      </w:r>
    </w:p>
    <w:p>
      <w:pPr>
        <w:spacing w:after="0" w:line="130"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 we had total U.S. GAAP stockholder equity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08"/>
          </w:cols>
          <w:pgMar w:left="652" w:top="1440" w:right="339" w:bottom="1440" w:gutter="0" w:footer="0" w:header="0"/>
        </w:sectPr>
      </w:pPr>
    </w:p>
    <w:bookmarkStart w:id="123" w:name="page124"/>
    <w:bookmarkEnd w:id="123"/>
    <w:p>
      <w:pPr>
        <w:spacing w:after="0" w:line="15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$3.9 billion and a PMIERs sufficiency ratio of 137%, representing $1,229 million of available assets above the published PMIERs requirements. The PMIERs sufficiency ratio is based on the published requirements applicable to private mortgage insurers and does not give effect to the GSE Restrictions. Our mortgage insurance subsidiaries had total statutory capital and surplus of $4.0 billion as of December 31 2020. Our combined statutory RTC ratio at the same date was 12.1:1, well below the NCDOI regulatory maximum of 25:1.</w:t>
      </w:r>
    </w:p>
    <w:p>
      <w:pPr>
        <w:spacing w:after="0" w:line="129" w:lineRule="exact"/>
        <w:rPr>
          <w:sz w:val="20"/>
          <w:szCs w:val="20"/>
          <w:color w:val="auto"/>
        </w:rPr>
      </w:pPr>
    </w:p>
    <w:p>
      <w:pPr>
        <w:jc w:val="both"/>
        <w:ind w:left="660" w:hanging="328"/>
        <w:spacing w:after="0" w:line="268"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138"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43"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7"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Over the course of the past year, since the onset of the COVID-19 pandemic, we wrote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NIW of higher-credit quality and at higher pricing. We now believe that the resilience of the housing market, which is supported by historically low interest rates and strong underlying demographics, will continue to provide a positive backdrop for us to maintain writing new business at an attractive return.</w:t>
      </w:r>
    </w:p>
    <w:p>
      <w:pPr>
        <w:spacing w:after="0" w:line="12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manage and distribute” approach. We believe the comprehensive rigor of our underwriting and risk management policies and procedures allows us to prudently manage and protect our balance sheet.</w:t>
      </w:r>
    </w:p>
    <w:p>
      <w:pPr>
        <w:spacing w:after="0" w:line="13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sz w:val="20"/>
          <w:szCs w:val="20"/>
          <w:color w:val="auto"/>
        </w:rPr>
      </w:pPr>
    </w:p>
    <w:p>
      <w:pPr>
        <w:jc w:val="both"/>
        <w:ind w:left="660" w:hanging="328"/>
        <w:spacing w:after="0" w:line="26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 value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 success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operating subsidiary, GMICO, is domiciled in North Carolina, and we are headquartered in Raleigh, North Carolina. 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 public stockholders will own approximately % of our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common stock (approximately % if the underwriters exercise in full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109220</wp:posOffset>
            </wp:positionV>
            <wp:extent cx="5203190" cy="3497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319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jc w:val="both"/>
        <w:ind w:left="340" w:hanging="332"/>
        <w:spacing w:after="0" w:line="249"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connection with the AXA Settlement (as defined herein), our Parent entered into a Promissory Note (as defined herein) secured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Mortgage Market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residential mortgage debt market, of which the United States family residential mortgage market forms a significant portion, is one of the largest in the world with over $10.8 trillion of mortgage debt outstanding as of the third quarter of 2020 and includes a range of private and government sponsored participants. Private industry participants include mortgage banks, mortgage brokers, commercial, regional and investment banks, savings institutions, credit unions, real estate investment trusts, mortgage 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companies’ earnings reports, the GSEs held or guaranteed approximately $5.5 trillion as of December 31, 2020, or around 50%, of total United States 1-4 family residential mortgage debt according to most recent data from the Federal Reserve.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 In 2020,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the United States mortgage market had total mortgage originations of approximately $4 trillion, comprised of approximately $1.4 trillion purchase originations and approximately $2.7 trillion refinancing originations.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92075</wp:posOffset>
            </wp:positionV>
            <wp:extent cx="4860290" cy="2871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6029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mortgage lenders and other investors, the GSEs, portfolio lenders who self insure, reinsurers, and other capital markets participants who may utilize financial instruments designed to mitigate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State, and Local Government Agencies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for 2020, the FHA had a 27% share, and the VA a 26%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 Portfolio Lenders, Reinsurers and Other Capital Markets Participants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particular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 borrower-paid mortgage insurance (“BPMI”). Loans for which premiums are paid by the lender are referred to as lender-paid mortgage insurance. In either case, the payment of premium to us is generally the responsibility of the insured.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Split, where an initial lump sum premium is paid upfront at the time the mortgage is originated along with subsequent monthly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Pool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insignificant amount of pool IIF.</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Underwriting Services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portfolio is of significant scale and aligns with our appetite for risk and return. The majority of our in -force exposures and all of our NIW is considered primary insurance, meaning we insure the loss on each loan up to the coverage amount without any stop loss or deductible for that loss. Our remaining pool exposures are significantly seasoned and represent less than 1% of total RIF.</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primary insurance exposures from legacy books originated prior to 2009 continue to resolve in an orderly fashion and represented 5% of our primary IIF and 6% of our primary RIF as of December 31, 2020. These books continue to represent a larger portion of our delinquencies and reserves driven by the continued aging of those delinquencies.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measure the credit characteristics of our portfolio as represented in the original commitment for insurance. We support a growing FTHB segment that generally has little down payment saved for their first home. As of December 31, 2020, 17% of our primary IIF (18% of primary RIF) is to borrowers with a down payment less than 5% of the loan at the time of origination. This loan product represented 12% of NIW in 2020, down from 15% in 2019 and 20%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profile of our portfolio continues to improve over time. As of December 31, 2020, 54% of our primary IIF (54% of primary RIF) has an original FICO score greater than or equal to 740. Loans with FICO scores greater than or equal to 740 represented 58% of NIW in 2020, up slightly from 57% in 2019 and 56% in 2018. Only 10% of our primary IIF (9% of primary RIF) has an original FICO score less than 680.. Loans in this FICO score category represented 7% of NIW in 2020, consistent with 7% in 2019 and down slightly from 8% in 2018.</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portfolio is diverse and representative of the United States origination market. As of December 31, 2020, our largest state concentration was in California, which represented 11% of primary RIF. Our largest MSA/MD is the Chicago-Naperville, IL Metropolitan Division, which represents 3% of primary RIF. For more information on our portfolio, see “Management’s Discussion and Analysis of Financial Condition and Results of Operations—“IIF and RIF.”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 Our largest customer accounted for 12% of our total NIW during 2020. No other customer exceeded 10% of our NIW during 2020 and one customer accounted for 16% of our NIW during 2019. Additionally, no customer had earned premiums that accounted for more than 10% of our total revenues for the years ended December 31, 2020 and 2019.</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established relationships with loyal customers. For example, approximately 92% of our NIW in 2020 was from customers who have submitted loans to us each year since 2016.</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distribute our mortgage insurance products through a dedicated sales force located 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Approximately 20% of our sales professionals focus on strategic accounts and are responsible for serving the more complex needs of the larger customers. The remaining 80%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a separate mortgage insurance policy underwritten by our wholly-owned subsidiary, Genworth Mortgage Insurance Corporation of North Carolina (“GMIC-NC”),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Strong risk management is a critical part of our business. We have a risk management framework that is designed to manage volatility in our business performance and protect our balance sheet. We believe this framework encompasses all the major risks, including credit risk, market risk, insurance risk, housing risk, model risk, operational risk and IT risk. Emerging and top risks are identified and frequently reviewed with our Chief Risk Officer, senior management, and our risk committee and the risk committee of our Parent’s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144" w:lineRule="exact"/>
        <w:rPr>
          <w:sz w:val="20"/>
          <w:szCs w:val="20"/>
          <w:color w:val="auto"/>
        </w:rPr>
      </w:pPr>
    </w:p>
    <w:p>
      <w:pPr>
        <w:jc w:val="both"/>
        <w:ind w:left="660" w:hanging="328"/>
        <w:spacing w:after="0" w:line="25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 As the pandemic continued to develop we refined our scenarios to incorporate actual experience and update our estimates.</w:t>
      </w:r>
    </w:p>
    <w:p>
      <w:pPr>
        <w:spacing w:after="0" w:line="15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“Risk Factors—Risks Relating to Our Business—Our risk management programs may not be effective in identifying or adequate in controlling or mitigating the risks we face.”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MILNs.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Qualification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Policy Acquisition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 We adjust our underwriting, pricing, and risk selection strategies on a regular basis to ensure that our products remain competitive and consistent with our risk and profitability objectives.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an independent quality assurance function that conducts pre-and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September 2021.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 All loans must pass through our eligibility rules engine to screen out those outside of our guidelines.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 diverse customer base. In addition to our employees, we use domestically based, contract underwriters, as needed, to assist with underwriting capacity and drive efficiency.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Delegated 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offer a post-closing underwriting review when requested by customers for both non-delegated and delegated loans. Upon satisfactory completion of this review, we agree to waive our right to rescind coverage under certain circumstances. In 2020, approximately 40% of our NIW by loan count went through one of our non-delegated underwriting services, compared to 43% of our NIW by loan count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during the COVID-19 pandemic, we have implemented pricing changes commensurate with changes in macroeconomic conditions that we believe align our risk and return profile.</w:t>
      </w:r>
    </w:p>
    <w:p>
      <w:pPr>
        <w:spacing w:after="0" w:line="158"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in response to changing economic conditions, new analytical insights or industry pricing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manage and distribute” approach. We believe our CRT program is a material component of our strategy and helps to protect future business performance and stockholder capital under stress scenarios.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 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$2.5 billion of CRT transactions across both traditional reinsurance arrangements and MILN transactions. As of December 31, 2020, approximately 94% of our RIF insurance is covered under our current CRT program, and we expect to begin transferring losses at an approximate 30% lifetime book year loss ratio and extend up to an approximate 70% lifetime book year loss ratio for our 2016 to 2020 books, depending on our co-participation level within the reinsurance tier for any book year.</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Through our traditional reinsurance program, we have executed $1.8 billion of XOL reinsurance coverage with highly rated reinsurers covering the 2009 to 2020 book years. We completed an XOL reinsurance transaction in March 2020 covering a portion of NIW from January 1, 2020 to December 31, 2020. We also completed an XOL reinsurance transaction effective April 1, 2020, providing up to $300 million of reinsurance coverage on our 2009 to 2019 book years that is intended to provide PMIERs capital credit for elevated delinquencies as result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February 4, 2021, we completed an XOL reinsurance transaction covering a portion of NIW from January 1, 2021 to December 31, 2021 that will provide up to $210 million of reinsurance coverage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22, 2020, we obtained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CRT transactions provided an estimated aggregate of $ 936 million of PMIERs capital credit as of December 31, 2020, which does not include the MILN transaction completed on March 2, 2021 as described below.</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2, 2021, we obtained approximately $495 million of fully collateralized XOL reinsurance coverage from Triangle Re 2021-1 on a portfolio of existing mortgage insurance policies written from January 2014 through December 2018 and from October 2019 through December 2019. Triangle Re 2021-1 financed the reinsurance coverage by issuing MILNs in an aggregate amount of $495 million to unaffiliated investors. The notes are non-recourse to us and our affiliates.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Going forward, we plan to continue our “acquire, manage and distribute” programmatic approach to capital and risk management utilizing a combination of traditional reinsurance and MILNs, dependent upon market and other factors.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depicted in the graphic and detailed CRT table below, our traditional reinsurance agreements and MILN transaction have been structured as XOL transactions where the Company retains the first loss position, the reinsurer or reinsurance trust account, as applicable, takes the second loss position, and the Company retains the remaining exposure above the reinsured tier. Within the reinsured tier,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co-participates in any losses under the terms of the traditional reinsurance agreement or MILN offering,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143500" cy="2734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2"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Shows structures at inception; includes transactions through March 2, 2021; attachment and detachment percentages shown are approximate,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2019 MILN covers a portion of January — September 2019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2020 MILN covers portion of January — August 2020 production.</w:t>
      </w:r>
    </w:p>
    <w:p>
      <w:pPr>
        <w:spacing w:after="0" w:line="5" w:lineRule="exact"/>
        <w:rPr>
          <w:rFonts w:ascii="Arial" w:cs="Arial" w:eastAsia="Arial" w:hAnsi="Arial"/>
          <w:sz w:val="16"/>
          <w:szCs w:val="16"/>
          <w:color w:val="auto"/>
        </w:rPr>
      </w:pPr>
    </w:p>
    <w:p>
      <w:pPr>
        <w:ind w:left="340" w:hanging="332"/>
        <w:spacing w:after="0" w:line="260" w:lineRule="auto"/>
        <w:tabs>
          <w:tab w:leader="none" w:pos="3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2014 – 2019 Seasoned MILN (Triangle Re 2021-1) covers a portion of January 2014 — December 2018 production and October 2019 — December 2019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88265</wp:posOffset>
            </wp:positionV>
            <wp:extent cx="5271770" cy="3068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71770" cy="30689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September 30, 2020.</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Operations—Key Metrics —Delinquent loans and claims” for tables setting forth more details about our delinquency rates as of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20" w:type="dxa"/>
            <w:vAlign w:val="bottom"/>
            <w:gridSpan w:val="5"/>
          </w:tcPr>
          <w:p>
            <w:pPr>
              <w:ind w:left="1000"/>
              <w:spacing w:after="0"/>
              <w:rPr>
                <w:sz w:val="20"/>
                <w:szCs w:val="20"/>
                <w:color w:val="auto"/>
              </w:rPr>
            </w:pPr>
            <w:r>
              <w:rPr>
                <w:rFonts w:ascii="Arial" w:cs="Arial" w:eastAsia="Arial" w:hAnsi="Arial"/>
                <w:sz w:val="14"/>
                <w:szCs w:val="14"/>
                <w:b w:val="1"/>
                <w:bCs w:val="1"/>
                <w:color w:val="auto"/>
              </w:rPr>
              <w:t>As of December 31,</w:t>
            </w:r>
          </w:p>
        </w:tc>
        <w:tc>
          <w:tcPr>
            <w:tcW w:w="3320" w:type="dxa"/>
            <w:vAlign w:val="bottom"/>
            <w:gridSpan w:val="4"/>
          </w:tcPr>
          <w:p>
            <w:pPr>
              <w:jc w:val="right"/>
              <w:ind w:right="928"/>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45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auto"/>
              </w:rPr>
              <w:t>2019</w:t>
            </w:r>
          </w:p>
        </w:tc>
      </w:tr>
      <w:tr>
        <w:trPr>
          <w:trHeight w:val="142"/>
        </w:trPr>
        <w:tc>
          <w:tcPr>
            <w:tcW w:w="4500" w:type="dxa"/>
            <w:vAlign w:val="bottom"/>
          </w:tcPr>
          <w:p>
            <w:pPr>
              <w:spacing w:after="0"/>
              <w:rPr>
                <w:sz w:val="12"/>
                <w:szCs w:val="12"/>
                <w:color w:val="auto"/>
              </w:rPr>
            </w:pPr>
          </w:p>
        </w:tc>
        <w:tc>
          <w:tcPr>
            <w:tcW w:w="148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Delinquency</w:t>
            </w:r>
          </w:p>
        </w:tc>
        <w:tc>
          <w:tcPr>
            <w:tcW w:w="1480" w:type="dxa"/>
            <w:vAlign w:val="bottom"/>
          </w:tcPr>
          <w:p>
            <w:pPr>
              <w:jc w:val="right"/>
              <w:ind w:right="519"/>
              <w:spacing w:after="0" w:line="142"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Delinquency</w:t>
            </w:r>
          </w:p>
        </w:tc>
      </w:tr>
      <w:tr>
        <w:trPr>
          <w:trHeight w:val="175"/>
        </w:trPr>
        <w:tc>
          <w:tcPr>
            <w:tcW w:w="45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Defaults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Defaults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Rate</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 and prior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9.01 %</w:t>
            </w:r>
          </w:p>
        </w:tc>
      </w:tr>
      <w:tr>
        <w:trPr>
          <w:trHeight w:val="22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2009-2020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34,427</w:t>
            </w:r>
          </w:p>
        </w:tc>
        <w:tc>
          <w:tcPr>
            <w:tcW w:w="40" w:type="dxa"/>
            <w:vAlign w:val="bottom"/>
            <w:tcBorders>
              <w:bottom w:val="single" w:sz="8" w:color="auto"/>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40" w:type="dxa"/>
            <w:vAlign w:val="bottom"/>
            <w:tcBorders>
              <w:bottom w:val="single" w:sz="8" w:color="auto"/>
            </w:tcBorders>
          </w:tcPr>
          <w:p>
            <w:pPr>
              <w:spacing w:after="0"/>
              <w:rPr>
                <w:sz w:val="19"/>
                <w:szCs w:val="19"/>
                <w:color w:val="auto"/>
              </w:rPr>
            </w:pP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 With the COVID-19 pandemic, we have experienced unprecedented use of forbearance plans nationwide to assist borrowers including the ability to extend forbearance beyond 12 months. Historically, the use of forbearance plans were limited to 12 months and used for a natural disaster that impacted a region of the country. At the conclusion of the forbearance term, a borrower may either bring the borrower’s loan current, defer any missed payments until the end of their loan, or the loan can be modified through a repayment plan or extension of the mortgage term.</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employment levels and interest rates. 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 foreclosure), (ii) the date of an approved short sale or other third party sale of the underlying property or (iii) the date a request is made by us to file a claim.</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review and determination that a filed claim is valid, we generally have the following three settlement options: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2020, we settled over half of our claims through the third-party sale or acquisition options due to continued home price appreciation and low unemployment.</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 See “Regulation—Other Federal Regulation—Mortgage Servicing Rules.”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challenge the results. Subject to applicable limitations in our policies and State law, legal challenges to our actions may be brought several years after we dispose of a claim.</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many industry leading origination and servicing systems so that our customers and servicers can select our mortgage insurance products and communicate with us directly from within their own technology platform. We also provide our customers secure access to our web-based portals to facilitate transactions and provide customers with access to their account information.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14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and rate quoting processes;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employ a multi-layered approach to data security and data privacy. This approach begins with our information security program, which is based on National Institute of Standards and Technology, 800-53.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 and through regular reporting and our risk management framework, we are able to identify, assess, manage, monitor and address cybersecurity risks. See “Risk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After this offering, we expect oversight and management of our investment portfolio and compliance with our investment policy will continue to be delegated by our board of directors to our Parent’s investment committee and chief investment officer. Under the terms of our investment management agreement, the Company is charged a fee by our Parent. The total investment expenses paid to our Parent were $5.2 million and $4.1 million for the years ended December 31, 2020 and 2019, respectively. See Note 11 to our audited consolidated financial statements for further information. The Parent provides investment management services to us under an existing services and shared expenses agreement (the “Services and Shared Expenses Agreement”). Prior to or concurrent with the completion of this offering, the Company anticipates entering into the Shared Services Agreements (as defined herein). The Company anticipates that the Services and Shared Expenses Agreement will be replaced in its entirety with the Shared Services Agreements. Please see “Certain Relationships and Related Party Transactions—Relationship with Our Parent—Shared Services Agreements" for a summary of the material terms of the Shared Services Agreements.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December 31, 2020, the fair value of our investment portfolio was $5.0 billion of fixed maturity assets, of which 98% was rated as investment grade. We also had an additional $453 million of cash and cash equivalents as of December 31, 2020.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“Management’s Discussion and Analysis of Financial Condition and Results of Operations—Investment Portfolio.”</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and Employees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take a holistic approach to human capital management, including attracting and retaining talent with comprehensive benefits and compensation packages, providing professional development and learning opportunities, facilitating access to dedicated resources that foster an equitable and inclusive environment and encouraging a sincere commitment to community service and involvement. As of December 31, 2020,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severity of COVID-19 started to unfold at the beginning of 2020, our response included the implementation of policies to protect our employees. In early March 2020, we closed our offices and implemented a complete work from home policy which will remain in place until at least September 2021. To further support our employees, we are also providing additional financial, health and wellness resources, as well as a flexible work schedule to allow employees additional time for selfcare and the care of family members during the crisis.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Insurance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5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Our insurance subsidiaries must deliver notice to the Commissioner of any dividend or distribution within 5 business days after declaration of the dividend or distribution, and at least 30 days before payment thereof. No dividend may be paid until 30 days after the Commissioner has received notice of the declaration thereof and</w:t>
      </w:r>
    </w:p>
    <w:p>
      <w:pPr>
        <w:spacing w:after="0" w:line="2" w:lineRule="exact"/>
        <w:rPr>
          <w:sz w:val="20"/>
          <w:szCs w:val="20"/>
          <w:color w:val="auto"/>
        </w:rPr>
      </w:pPr>
    </w:p>
    <w:p>
      <w:pPr>
        <w:jc w:val="both"/>
        <w:ind w:firstLine="8"/>
        <w:spacing w:after="0" w:line="256" w:lineRule="auto"/>
        <w:tabs>
          <w:tab w:leader="none" w:pos="2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under a tax sharing agreement for employment or other services) if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determine that such payment could be adverse to our policyholders or would not be fair and reasonable to the insurer.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NAIC</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154" w:lineRule="exact"/>
        <w:rPr>
          <w:sz w:val="20"/>
          <w:szCs w:val="20"/>
          <w:color w:val="auto"/>
        </w:rPr>
      </w:pPr>
    </w:p>
    <w:p>
      <w:pPr>
        <w:ind w:left="66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Examinations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events subsequent to the examination date and noted during the course of the exam. The examination report is available to the public.</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U.S. GAAP, the values for assets, liabilities and equity reflected in financial statements prepared in accordance with U.S. GAAP are often materially different from those reflected in financial statements prepared under SAP.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Conduct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3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Mortgage Guaranty Insurance Capital and Surplus Requirements</w:t>
      </w:r>
      <w:r>
        <w:rPr>
          <w:rFonts w:ascii="Arial" w:cs="Arial" w:eastAsia="Arial" w:hAnsi="Arial"/>
          <w:sz w:val="18"/>
          <w:szCs w:val="18"/>
          <w:color w:val="auto"/>
        </w:rPr>
        <w:t>. Mortgage guaranty insurers are not subject to the NAIC’s RBC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12.1:1 and 12.2:1 as of December 31, 2020 and 2019, respectively. The current regulatory framework of the NCDOI used to calculate our RTC ratio differs from the capital requirements of the GSEs. See “—Agency Qualification Requirements.”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process remains uncertain. At this time, we cannot predict (i) the outcome of this process; (ii) which states, if any, may adopt the MGI Model;</w:t>
      </w:r>
    </w:p>
    <w:p>
      <w:pPr>
        <w:spacing w:after="0" w:line="9" w:lineRule="exact"/>
        <w:rPr>
          <w:sz w:val="20"/>
          <w:szCs w:val="20"/>
          <w:color w:val="auto"/>
        </w:rPr>
      </w:pPr>
    </w:p>
    <w:p>
      <w:pPr>
        <w:jc w:val="both"/>
        <w:ind w:firstLine="8"/>
        <w:spacing w:after="0" w:line="253" w:lineRule="auto"/>
        <w:tabs>
          <w:tab w:leader="none" w:pos="32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effect 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Group Capital Requirements. </w:t>
      </w:r>
      <w:r>
        <w:rPr>
          <w:rFonts w:ascii="Arial" w:cs="Arial" w:eastAsia="Arial" w:hAnsi="Arial"/>
          <w:sz w:val="18"/>
          <w:szCs w:val="18"/>
          <w:color w:val="auto"/>
        </w:rPr>
        <w:t>The NAIC and international insurance regulators, including the International Association of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Supervisors (“IAIS”), have developed group capital standards. The NAIC developed a group capital calculation (“GCC”) tool using an RBC aggregation methodology for all entities within the insurance holding company system, including non-United States entities. The GCC provides regulators with an additional tool for conducting group-wide supervision and enhances transparency into how capital is allocated. In December 2020, the NAIC also adopted the GCC Template and Instructions as well as amendments to the Holding Company System Model Act and Regulation to require, subject to certain exceptions, the ultimate controlling person of every insurer subject to the holding company registration requirement to file an annual group capital calculation with its lead state. The NAIC has stated that the calculation will be a regulatory tool and does not constitute a requirement or standard, but there can be no guarantee that will remain the case. These amendments, which implement the annual filing requirement for the GCC, now have to be adopted by state legislatures in order to become effective. The NAIC expects to adopt the final GCC Template and Instructions in 2021. See also “Risk Factors— 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IAIS spent several years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it began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$2,518 million and $2,032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 regulation and taxation. In addition, various forms of direct federal regulation of insurance have been proposed in recent years.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Dodd-Frank Act made extensive changes to the laws regulating financial services firms and required various federal agencies to adopt a broad range of new implementing rules and regulations.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also established a Financial Stability Oversight Council (“FSOC”), which is authorized to subject non-bank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There are currently no such companies designated as systematically significant by the FSOC.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May 24, 2018, the Economic Growth, Regulatory Relief, and Consumer Protection Act (“Reform Act”) was signed into law. In addition to the other provisions,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effect of all the regulations or legislation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Agency Qualification Requirements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Effective December 31, 2015, each GSE adopted the original PMIERs, which set forth operational and financial requirements that mortgage insurers must meet in order to remain eligible. On September 27, 2018, the GSEs issued revisions to the PMIERs, which became effective March 31, 2019. The PMIERs aim to ensure that approved insurers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our relationship with the GSEs and our financial condition. The PMIERs contain extensive requirements related to the conduct and operations of our mortgage insurance business, including requirements in areas such as claim processing, loss mitigation, document retention, underwriting, quality control, reporting and 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2020, we met the PMIERs financial and operational requirements, based in part on our entry into a series of reinsurance transactions, and currently hold a reasonable amount in excess of the financial requirements.</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high LTV mortgages. The GSEs may amend or waive PMIERs at their discretion, impose additional conditions or restrictions on us and also have broad discretion to interpret PMIERs, which could impact the calculation of our “Available Assets” and/or “Minimum Required Assets”.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June 29, 2020, the GSEs issued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The PMIERs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Amendment implemented both permanent and temporary revisions to PMIERs.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PMIERs, we are subject to these operational and financial requirements. Each approved mortgage insurer is required to provide the GSEs with an annual certification and a quarterly report as to its compliance with PMIERs. As of December 31, 2020, we had available assets of $4,588 million against $ 3,359 million net required assets under PMIERs, compared to available assets of $3,811 million against $2,754 million net required assets as of December 31, 2019. The estimated sufficiency above the published PMIERs financial requirements as of December 31, 2020 was $1,229 million, compared to $1,057 million above the published PMIERs requirements as of December 31, 2019, resulting in a PMIERs sufficiency ratio of 137% and 138%, respectively, which, was above the requirement imposed by the GSE Restrictions that required us to maintain a PMIERs sufficiency ratio of 115% in 2020. For information with respect to higher PMIERs sufficiency ratios in future periods as a result of the GSE Restrictions,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our PMIERs required assets as of December 31, 2020 benefited from the application of a 0.30 multiplier applied to the risk-based required asset amount factor for certain non-performing loans.</w:t>
      </w:r>
    </w:p>
    <w:p>
      <w:pPr>
        <w:spacing w:after="0" w:line="1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will remain in effect through March 31, 2021, unless extended by mutual agreement of the parties. The Master Policy Alternatives Agreement includes several provisions aimed at avoiding claim denial and cancellation of coverage resulting from the COVID-19 pandemic. In addition, pursuant to the Master Policy Alternatives Agreement, the GSEs must provide monthly reports regarding which loans participate in forbearance plans granted in response to a COVID-19 hardship.</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September 2020, subsequent to the issuance of our 2025 Senior Notes, the GSEs imposed the GSE Restrictions with respect to capital on our business. These restrictions will remain in effect until the later of six quarters or until the following collective GSE Conditions are met: (i) approval of GMICO’s plan to secure additional capital, if needed, (ii) GMICO obtains “BBB+”/“Baa1” (or higher) rating from Standard &amp; Poor’s, Moody’s or Fitch for two consecutive quarters and (iii) our Parent achieves a debt leverage ratio (excluding U.S. life business equity) that is less than 25% and a cash coverage ratio that is at least 2.5 for two consecutive quarters. Prior to the satisfaction of the GSE Conditions, the GSE Restrictions require (a) GMICO to maintain 115% of PMIERs Minimum Required Assets through 2021, 120% during 2022 and 125% thereafter, (b) the Company to retain $ 300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In addition, GMICO is not permitted to make any dividend payments, capital withdrawals or changes to capital deployments that would cause the PMIERs Minimum Required Assets to fall below the percentages set forth in clause (a) above. We distributed $ 436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March 2021, our Parent sold all of its common shares in GMA, which resulted in a mandatory payment of approximately £178 million under the Promissory Note entered into in connection with the AXA Settlement, leaving a balance owed of approximately £247 ($338 million), which is subject to increase. See "Risk Factors— Risks Relating to Our Continuing Relationship with Our Parent—Our Parent's indebtedness and potential liquidity constraints may negatively affect us." Until the GSE Conditions are met, GMHI’s liquidity must not fall below 13.5% of its outstanding debt.</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the GSEs issued separate conditions and restrictions in September 2020 in connection with their re-approval of the China Oceanwide transaction, which place identical restrictions on our business, if the proposed China Oceanwide transaction closes. Specifically, the Oceanwide Restrictions must remain in effect until the later of: (i) six quarters after the China Oceanwide transaction closes, (ii) the conditions in our Parent’s mitigation agreement with CFIUS are met and certified, or (iii) until the GSE Conditions are met. Prior to the satisfaction of these conditions, the Oceanwide Restrictions contain the same restrictions as the aforementioned GSE Restrictions. However, if China Oceanwide remits the $ 1.5 billion contribution to our Parent in connection with its capital investment plan, GMHI can distribute the $300 million of holding company cash held for debt service and GMICO capital needs less 13.5% of GMHI’s then current outstanding debt. See “Risk Factors—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Because this transaction has not closed, our Parent and China Oceanwide would need to re-engage with the GSEs to determine whether the transaction could proceed under the prior re-approval. We are uncertain what, if any, new requirements, conditions or restrictions might be imposed on our business in connection with a re-approval from the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 Trends and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Federal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For example, in December 2020, the FHFA promulgated the Enterprise Capital Framework that imposes a new capital framework on the GSEs, including risk-based and leverage capital requirements and buffers in excess of regulatory minimums that can be drawn down in periods of financial stress. This rule is part of the process to potentially end the conservatorships of the GSEs. The final rule could cause the GSEs to increase their guarantee pricing in order to meet the new capital requirements. Legislation or regulation that changes the role of the GSEs or ends conservatorships of the GSEs could have a material adverse effect on our business. Likewise, any legislation or regulation that increases the number of people eligible for FHA or VA mortgages could have a materially adverse effect on our ability to compete with the FHA or the VA.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Laws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 law, which may be enforced by the CFPB, state insurance departments, state attorneys general and other enforcement authorities.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Trump Administration on March 13, 2020 under the National Emergencies Act, the CARES Act required mortgage servicers to provide up to 180 days of forbearance for borrowers with a federally backed mortgage loan who asserted they had experienced a financial hardship related to COVID-19. The forbearance was permitted to be extended for an additional 180 days up to a year in total or shortened at the request of the borrower. On February 25, 2021, the FHFA announced that borrowers with a mortgage backed by the GSEs who are in an active COVID-19 forbearance plan as of February 28, 2021 and have reached a cumulative term of 12 months of forbearance may be granted an extension of up to three months and thereafter one or more forbearance plan term extensions of no more than three months each, provided the plan term does not exceed 18 months of total delinquency or a cumulative term of 18 months, whichever is shorter. At the conclusion of the forbearance term, a borrower may either bring its loan current, defer any missed payments until the end of their loan, or the loan can be modified through a repayment plan or extension of the mortgage term.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announced that they will be extending similar relief to their respective portfolios of loans.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February 25, 2021, the FHFA announced an extension until June 30, 2021 of the foreclosure moratorium for single-family mortgages that are purchased by Fannie Mae and Freddie Mac.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effectiveness and availability of vaccines and other actions taken by governmental authorities in response to the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ATR Requirement and the QRM securitization risk retention provisions.</w:t>
      </w:r>
    </w:p>
    <w:p>
      <w:pPr>
        <w:spacing w:after="0" w:line="13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 xml:space="preserve">ATR and QM Rules. </w:t>
      </w:r>
      <w:r>
        <w:rPr>
          <w:rFonts w:ascii="Arial" w:cs="Arial" w:eastAsia="Arial" w:hAnsi="Arial"/>
          <w:sz w:val="18"/>
          <w:szCs w:val="18"/>
          <w:color w:val="auto"/>
        </w:rPr>
        <w:t>The Dodd-Frank Act ATR Requirement prohibits a creditor from making a residential mortgage loan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and regulations established by the CFPB require mortgage lenders to demonstrate that they have effectively considered the consumer’s ability to repay a mortgage loan, establish when a mortgage may be classified as a QM and determine when a lender is eligible for a safe harbor as a presumption that the lender has complied with the ability-to-repay requirements. The regulations include the QM Patch for mortgages that comply with certain prohibitions and limitations and meet the GSE underwriting and product guidelines. Mortgages that meet these requirements are deemed to be QMs. The QM Patch permits loans that exceed a DTI ratio of 43% to be eligible for QM status. Many of the loans that qualify under the QM Patch require credit enhancement, of which private mortgage insurance is the predominate form of coverage. In addition, on December 29, 2020, the CFPB promulgated two final rules amending the QM Rule: (i) the Amended QM Rule and (ii) the Seasoned QM Final Rule. The effective date of both rules was March 1, 2021, with a mandatory compliance date for the Amended QM Rule of July 1, 2021. However, on February 23, 2021, the CFPB published a statement entitled “Statement on Mandatory Compliance Date of General QM Final Rule and Possible Reconsideration of General QM Final Rule and Seasoned QM Final Rule” in which it announced the CFPB was considering rulemaking to reconsider the Seasoned QM Final Rule and would also propose a rule to delay the July 1, 2021 mandatory compliance date of the Amended QM Rule. Subsequently, on March 5, 2021, the CFPB promulgated a Notice of Proposed Rulemaking to delay the mandatory compliance date of the Amended QM Rule until October 1, 2022. As proposed under the Notice of Proposed Rulemaking, the prior 43% DTI-based QM Rule definition, the new price-based (APOR) definition and the QM Patch will all remain available to lenders for loan applications received prior to October 1, 2022.</w:t>
      </w:r>
    </w:p>
    <w:p>
      <w:pPr>
        <w:spacing w:after="0" w:line="15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the USDA and RHS to develop their own definitions of a QM in consultation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QRM Rule. </w:t>
      </w:r>
      <w:r>
        <w:rPr>
          <w:rFonts w:ascii="Arial" w:cs="Arial" w:eastAsia="Arial" w:hAnsi="Arial"/>
          <w:sz w:val="18"/>
          <w:szCs w:val="18"/>
          <w:color w:val="auto"/>
        </w:rPr>
        <w:t>The Dodd-Frank Act requires an originator or issuer to retain a specified percentage of the credit risk exposure on securitized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that do not meet the definition of a QRM. 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1988, the Basel Committee developed Basel I which set out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Following the financial crisis of 2008, the Basel Committee issued Basel III that established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comply with the NYDFS cybersecurity regulation. On February 4, 2021, the NYDFS issued a circular letter announcing its Cyber Insurance Risk Framework, which describes best practices the agency recommends NYDFS-regulated insurers use to manage cyber insurance risk, including rigorously measuring insureds’ cyber risk, educating and incentivizing insureds to adopt cybersecurity measures and training employees to better understand and evaluate cyber risk. The circular letter does not establish new legal standards, but does reflect the NYDFS’s interpretation of existing legal and regulatory requirements. In addition, on March 2, 2021, Virginia enacted the Virginia Consumer Data Protection Act (“VCDPA”) which will become effective on January 1, 2023. The VCDPA borrows heavily from the California Consumer Privacy Act of 2018 (the “CCPA”) and the European Union General Data Protection Regulation, and includes exemptions that may be broader than the CCPA in certain respects, including an exemption for any data or financial institution subject to the GLB Act. State governments, including legislatures in Florida, Oklahoma, New York, and Washington, are also currently working on legislation related to consumer data privacy similar to the CCPA.</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although it is not yet an accreditation standard.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spacing w:after="0" w:line="15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December 10, 2020, the California Attorney General proposed modifications to the regulations that went into effect on August 14, 2020.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abbreviated comment period for these proposed modifications closed on December 28, 2020. Following the closure of the public comment period, the California Attorney General submitted the regulations for approval by the OAL, which granted approval for the modified regulations on March 15, 2021.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through December 31, 2022. Specifically, the CCPA exempts from its requirements certain information collected in employment or business-to-business contexts.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information regarding our directors and executive officers as of the date of this prospectus.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gridSpan w:val="5"/>
          </w:tcPr>
          <w:p>
            <w:pPr>
              <w:spacing w:after="0"/>
              <w:rPr>
                <w:sz w:val="20"/>
                <w:szCs w:val="20"/>
                <w:color w:val="auto"/>
              </w:rPr>
            </w:pPr>
            <w:r>
              <w:rPr>
                <w:rFonts w:ascii="Arial" w:cs="Arial" w:eastAsia="Arial" w:hAnsi="Arial"/>
                <w:sz w:val="18"/>
                <w:szCs w:val="18"/>
                <w:color w:val="auto"/>
              </w:rPr>
              <w:t>respective age of each individual in the table below is as of</w:t>
            </w:r>
          </w:p>
        </w:tc>
        <w:tc>
          <w:tcPr>
            <w:tcW w:w="5280" w:type="dxa"/>
            <w:vAlign w:val="bottom"/>
          </w:tcPr>
          <w:p>
            <w:pPr>
              <w:ind w:left="220"/>
              <w:spacing w:after="0"/>
              <w:rPr>
                <w:sz w:val="20"/>
                <w:szCs w:val="20"/>
                <w:color w:val="auto"/>
              </w:rPr>
            </w:pPr>
            <w:r>
              <w:rPr>
                <w:rFonts w:ascii="Arial" w:cs="Arial" w:eastAsia="Arial" w:hAnsi="Arial"/>
                <w:sz w:val="18"/>
                <w:szCs w:val="18"/>
                <w:color w:val="auto"/>
              </w:rPr>
              <w:t>, 2021.</w:t>
            </w:r>
          </w:p>
        </w:tc>
        <w:tc>
          <w:tcPr>
            <w:tcW w:w="940" w:type="dxa"/>
            <w:vAlign w:val="bottom"/>
          </w:tcPr>
          <w:p>
            <w:pPr>
              <w:spacing w:after="0"/>
              <w:rPr>
                <w:sz w:val="18"/>
                <w:szCs w:val="18"/>
                <w:color w:val="auto"/>
              </w:rPr>
            </w:pPr>
          </w:p>
        </w:tc>
      </w:tr>
      <w:tr>
        <w:trPr>
          <w:trHeight w:val="37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24"/>
                <w:szCs w:val="24"/>
                <w:color w:val="auto"/>
              </w:rPr>
            </w:pPr>
          </w:p>
        </w:tc>
        <w:tc>
          <w:tcPr>
            <w:tcW w:w="528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Position</w:t>
            </w:r>
          </w:p>
        </w:tc>
        <w:tc>
          <w:tcPr>
            <w:tcW w:w="940" w:type="dxa"/>
            <w:vAlign w:val="bottom"/>
            <w:tcBorders>
              <w:bottom w:val="single" w:sz="8" w:color="auto"/>
            </w:tcBorders>
          </w:tcPr>
          <w:p>
            <w:pPr>
              <w:spacing w:after="0"/>
              <w:rPr>
                <w:sz w:val="24"/>
                <w:szCs w:val="24"/>
                <w:color w:val="auto"/>
              </w:rPr>
            </w:pPr>
          </w:p>
        </w:tc>
      </w:tr>
      <w:tr>
        <w:trPr>
          <w:trHeight w:val="223"/>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5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940" w:type="dxa"/>
            <w:vAlign w:val="bottom"/>
            <w:shd w:val="clear" w:color="auto" w:fill="CCEEFF"/>
          </w:tcPr>
          <w:p>
            <w:pPr>
              <w:spacing w:after="0"/>
              <w:rPr>
                <w:sz w:val="19"/>
                <w:szCs w:val="19"/>
                <w:color w:val="auto"/>
              </w:rPr>
            </w:pPr>
          </w:p>
        </w:tc>
      </w:tr>
      <w:tr>
        <w:trPr>
          <w:trHeight w:val="230"/>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Dean Mitchell</w:t>
            </w:r>
          </w:p>
        </w:tc>
        <w:tc>
          <w:tcPr>
            <w:tcW w:w="500" w:type="dxa"/>
            <w:vAlign w:val="bottom"/>
          </w:tcPr>
          <w:p>
            <w:pPr>
              <w:jc w:val="center"/>
              <w:ind w:right="135"/>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940" w:type="dxa"/>
            <w:vAlign w:val="bottom"/>
          </w:tcPr>
          <w:p>
            <w:pPr>
              <w:spacing w:after="0"/>
              <w:rPr>
                <w:sz w:val="19"/>
                <w:szCs w:val="19"/>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5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940" w:type="dxa"/>
            <w:vAlign w:val="bottom"/>
            <w:shd w:val="clear" w:color="auto" w:fill="CCEEFF"/>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Chairperson of our board of directors</w:t>
            </w:r>
          </w:p>
        </w:tc>
        <w:tc>
          <w:tcPr>
            <w:tcW w:w="94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472"/>
        </w:trPr>
        <w:tc>
          <w:tcPr>
            <w:tcW w:w="10300" w:type="dxa"/>
            <w:vAlign w:val="bottom"/>
            <w:gridSpan w:val="6"/>
          </w:tcPr>
          <w:p>
            <w:pPr>
              <w:ind w:left="340"/>
              <w:spacing w:after="0"/>
              <w:rPr>
                <w:sz w:val="20"/>
                <w:szCs w:val="20"/>
                <w:color w:val="auto"/>
              </w:rPr>
            </w:pPr>
            <w:r>
              <w:rPr>
                <w:rFonts w:ascii="Arial" w:cs="Arial" w:eastAsia="Arial" w:hAnsi="Arial"/>
                <w:sz w:val="18"/>
                <w:szCs w:val="18"/>
                <w:b w:val="1"/>
                <w:bCs w:val="1"/>
                <w:i w:val="1"/>
                <w:iCs w:val="1"/>
                <w:color w:val="auto"/>
              </w:rPr>
              <w:t xml:space="preserve">Rohit Gupta </w:t>
            </w:r>
            <w:r>
              <w:rPr>
                <w:rFonts w:ascii="Arial" w:cs="Arial" w:eastAsia="Arial" w:hAnsi="Arial"/>
                <w:sz w:val="18"/>
                <w:szCs w:val="18"/>
                <w:color w:val="auto"/>
              </w:rPr>
              <w:t>has served as our President and Chief Executive Officer since March 2013, as one of our directors since</w:t>
            </w:r>
          </w:p>
        </w:tc>
        <w:tc>
          <w:tcPr>
            <w:tcW w:w="940" w:type="dxa"/>
            <w:vAlign w:val="bottom"/>
          </w:tcPr>
          <w:p>
            <w:pPr>
              <w:jc w:val="right"/>
              <w:spacing w:after="0"/>
              <w:rPr>
                <w:sz w:val="20"/>
                <w:szCs w:val="20"/>
                <w:color w:val="auto"/>
              </w:rPr>
            </w:pPr>
            <w:r>
              <w:rPr>
                <w:rFonts w:ascii="Arial" w:cs="Arial" w:eastAsia="Arial" w:hAnsi="Arial"/>
                <w:sz w:val="18"/>
                <w:szCs w:val="18"/>
                <w:color w:val="auto"/>
              </w:rPr>
              <w:t>and as</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Chairperson of our board of directors from July 2020 to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 Mr. Gupta joined GMICO in 2003 and, prior to serving as our President and</w:t>
            </w:r>
          </w:p>
        </w:tc>
      </w:tr>
    </w:tbl>
    <w:p>
      <w:pPr>
        <w:jc w:val="both"/>
        <w:spacing w:after="0" w:line="252" w:lineRule="auto"/>
        <w:rPr>
          <w:sz w:val="20"/>
          <w:szCs w:val="20"/>
          <w:color w:val="auto"/>
        </w:rPr>
      </w:pPr>
      <w:r>
        <w:rPr>
          <w:rFonts w:ascii="Arial" w:cs="Arial" w:eastAsia="Arial" w:hAnsi="Arial"/>
          <w:sz w:val="18"/>
          <w:szCs w:val="18"/>
          <w:color w:val="auto"/>
        </w:rPr>
        <w:t>Chief Executive Officer, Mr. Gupta held roles of increasing responsibility, including serving as GMICO’s Chief Commercial Officer and Senior Vice President of Products, Intelligence and Strategy. Prior to that, Mr. Gupta held both marketing director and senior product manager roles with GE Capital from 2000 to 2003. Mr. Gupta began his career with FedEx Corporation in Strategic Marketing, where he was responsible for competitive intelligence and market analysis supporting FedEx senior management. Mr. Gupta serves on the boards of the Mortgage Bankers Association Residential Board of Governors and the Housing Policy Executive Council. He also served as Chairman and remains a board member of the U.S. Mortgage Insurers trade association and served on the board of Genworth Canada from June 2016 to December 2019. Mr. Gupta received an undergraduate degree in Computer Science &amp; Technology from Indian Institute of Technology and an M.B.A. in Finance from University of Illinois at Urbana Champaign.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Mr. Gupta’s qualifications to serve on our board of directors include the depth of his experience in the mortgage insurance industry together with his extensive knowledge of our operations.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Dean Mitchell </w:t>
      </w:r>
      <w:r>
        <w:rPr>
          <w:rFonts w:ascii="Arial" w:cs="Arial" w:eastAsia="Arial" w:hAnsi="Arial"/>
          <w:sz w:val="18"/>
          <w:szCs w:val="18"/>
          <w:color w:val="auto"/>
        </w:rPr>
        <w:t>has served as our Senior Vice President, Chief Financial Officer and Treasurer since March 2013. Mr. Mitchell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Vice President, Capital Management for GMICO. Mr. Mitchell joined GMICO in June 2004 as a member of the global capital management group. Prior to joining GMICO, Mr. Mitchell served as Treasurer of Reichhold, Inc., a global chemical manufacturer, and served a director of treasury role at Business Telecom, Inc., a privately held telecommunications provider. Mr. Mitchell received a B.S. in Business from Wake Forest University and an M.B.A. from the University of North Carolina – Wilmington.</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Evan Stolove </w:t>
      </w:r>
      <w:r>
        <w:rPr>
          <w:rFonts w:ascii="Arial" w:cs="Arial" w:eastAsia="Arial" w:hAnsi="Arial"/>
          <w:sz w:val="18"/>
          <w:szCs w:val="18"/>
          <w:color w:val="auto"/>
        </w:rPr>
        <w:t>has served as our Senior Vice President, General Counsel and Secretary since July 2017 and is responsible for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privacy, state government affairs and GSE relations functions. Prior to that time, Mr. Stolove served as Senior Vice President, General Counsel and Secretary for GMICO since August 2016. Prior to joining GMICO, Mr. Stolove served as Vice President and Deputy General Counsel from July 2011 to July 2016, and Associate General Counsel from September 2004 to June 2011, at Fannie Mae. From September 1996 to August 2004, Mr. Stolove was in private practice with the law firm of Arent Fox PLLC in its commercial litigation practice. Prior to that, he clerked for judges at the U.S. District Court for the District of Maryland and the Maryland Court of Appeals. Mr. Stolove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received his undergraduate degree in Religious Studies and Psychology from the University of Michigan and a J.D. with honors from the University of Maryland School of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 and skills in the following areas are most important: insurance industry, particularly in mortgage insurance; accounting, finance and capital structure; strategic planning and leadership; legal/regulatory and government affairs; talent management; and board experience at other corporations. We believe that all our board members possess the professional and personal qualifications necessary for service on our board.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currently consists of six members. Upon consummation of this offering, our board of directors will consist of nine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members: Messrs. Gupta, , , and , and Mses. , , and . Each director is to hold office until his or her successor is duly elected and qualified or until his or her earlier death, resignation or removal. At any meeting of our board of directors, except as otherwise required by law, a majority of the total number of directors then in office will constitute a quorum for all purposes. Our</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board of directors has determined that each of , , , and is “independent” as that term is defined under the listing requirements and rules of the Nasdaq. Upon consummation of this offering, we intend for our board of directors to consist of a majority of independent directors.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consummation of this offering, our Parent will continue to beneficially own at least 80% of our common stock. Accordingly, we will be a “controlled company” within the meaning of Nasdaq corporate governance standards. Under Nasdaq rules, a “controlled company” may elect not to comply with certain Nasdaq corporate governance standards, including:</w:t>
      </w:r>
    </w:p>
    <w:p>
      <w:pPr>
        <w:spacing w:after="0" w:line="148"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requirement that a majority of the members of our board of directors consist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this offering, we will take advantage of certain of these exemptions. We do not intend to rely on the exemption to the requirement that a majority of our directors be independent. Upon consummation of this offering, we intend for our board of directors to consist of a majority of independent directors. We, however, intend to elect not to comply with the other requirements set forth above, including the requirement that the compensation committee and nominating and corporate governance committee be composed entirely of independent directors. Accordingly, you may not have the same protections afforded to stockholders of companies that are subject to all Nasdaq corporate governance rules and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in accordance with the terms of the Master Agreement. See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Relationships and Related Party Transactions—Relationship with Our Parent—Master Agreement.” Upon the consummation of this offering, we currently expect our board of directors will have five standing committees:</w:t>
      </w:r>
    </w:p>
    <w:p>
      <w:pPr>
        <w:spacing w:after="0" w:line="144"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independent capital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risk committee.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Capital Committee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independent capital committee’s mandate is intended to address conditions imposed by the GSEs on our insurance company subsidiaries or otherwise agreed to with the GSEs. We will maintain an independent capital committee for so long as (i) our Parent (or its successor) owns 50% or more of the voting power of our issued and outstanding capital stock entitled to vote in the election of directors and (ii) there are minority public stockholders in our capital structure.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purpose of our independent capital committee is to provide independent oversight of the following specified actions by us (the “Specified Actions”):</w:t>
      </w:r>
    </w:p>
    <w:p>
      <w:pPr>
        <w:spacing w:after="0" w:line="144" w:lineRule="exact"/>
        <w:rPr>
          <w:sz w:val="20"/>
          <w:szCs w:val="20"/>
          <w:color w:val="auto"/>
        </w:rPr>
      </w:pPr>
    </w:p>
    <w:p>
      <w:pPr>
        <w:ind w:left="660" w:hanging="328"/>
        <w:spacing w:after="0" w:line="26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debt or equity securities issuances into the capital markets and credit facility or similar debt financings by us or any of our subsidiaries;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declaration by our board of directors of a dividend or distribution by us to our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capital contributions by us to any of our subsidiaries other than GMICO.</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Before a proposed Specified Action is submitted to our board of directors for a vote, we must obtain the prior approval of our independent capital committee. In effect, we cannot implement a Specified Action without our independent capital committee’s prior approval and our independent capital committee has the power to veto any proposed Specified Action.</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consummation of this offering, our independent capital committee will consist of , and , with serving as the chairperson. Each member of our independent capital committee is required to be, and our board of directors has determined each member is, an independent director under Nasdaq corporate governance standards and the independence requirements of Rule 10A-3 under the Exchange Act.</w:t>
      </w:r>
    </w:p>
    <w:p>
      <w:pPr>
        <w:spacing w:after="0" w:line="3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independent capital committee will operate under a written charter, which will be effective prior to the completion of this offering and available on our website at the completion of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consummation of this offering, our audit committee will consist of , and , with serving as the chairperson. Our board of directors has determined that each member of our audit committee qualifies as an independent director under Nasdaq corporate governance standards and the independence requirements of Rule 10A-3 under the Exchange Act. Our board of directors has also determined that each member of our audit committee is financially literate, and is an “audit committee financial expert” as such term is defined in Item 407(d)(5) of Regulation S-K. The audit committee will assist our board of directors in fulfilling its oversight responsibilities relating to:</w:t>
      </w:r>
    </w:p>
    <w:p>
      <w:pPr>
        <w:spacing w:after="0" w:line="36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approving the terms of the independent public accounting firm’s engagement, including its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and periodically reviewing complaints received by us regarding accounting, internal accounting controls or auditing matters, including for the confidential anonymous submission of concerns by our employees;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approving any transaction between us and any related person (as defined by the Securities Act) in accordance with the Company’s related party transaction approval policy;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Upon the consummation of this offering, our compensation committee will consist of , and , with serving as the chairperson. Because we will be a controlled company for purposes of Nasdaq listing requirements, we have elected to take advantage of exemption from the requirement that would otherwise require our compensation committee to be comprised entirely of independent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directors. Our board of directors has determined that of our compensation committee is independent under Nasdaq listing standards and a “non-employee director” as defined in Rule 16b-3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171" w:lineRule="exact"/>
        <w:rPr>
          <w:sz w:val="20"/>
          <w:szCs w:val="20"/>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 including reviewing and approving corporate goals and objectives relevant to compensation of our chief executive officer and other senior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senior officers in light of those goals and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setting compensation of our chief executive officer and other senior officers based on such evaluations;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and other senior officers, employment agreements, severance agreements, consulting agreements and change in control or termination agreements;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compensation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Upon the consummation of this offering, our nominating and corporate governance committee will consist of , and , with serving as the chairperson. Because we will be a controlled company for purposes of Nasdaq listing requirements, we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elected to take advantage of exemption from the requirement that would otherwise require our nominating and corporate governance</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committee to be comprised entirely of independent directors. Our board of directors has determined that of our nominating and corporate governance committee is independent under Nasdaq listing standards. Specific responsibilities of our nominating and corporate governance committee will include:</w:t>
      </w:r>
    </w:p>
    <w:p>
      <w:pPr>
        <w:spacing w:after="0" w:line="148" w:lineRule="exact"/>
        <w:rPr>
          <w:sz w:val="20"/>
          <w:szCs w:val="20"/>
          <w:color w:val="auto"/>
        </w:rPr>
      </w:pPr>
    </w:p>
    <w:p>
      <w:pPr>
        <w:ind w:left="66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nominating and corporate governance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Committee</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Upon the consummation of this offering, our risk committee will consist of , and , with serving as the chairperson. Our board of directors has determined that of our risk committee is independent under Nasdaq listing standards. Specific responsibilities of our risk committee will include:</w:t>
      </w:r>
    </w:p>
    <w:p>
      <w:pPr>
        <w:spacing w:after="0" w:line="148" w:lineRule="exact"/>
        <w:rPr>
          <w:sz w:val="20"/>
          <w:szCs w:val="20"/>
          <w:color w:val="auto"/>
        </w:rPr>
      </w:pPr>
    </w:p>
    <w:p>
      <w:pPr>
        <w:ind w:left="660" w:hanging="328"/>
        <w:spacing w:after="0" w:line="26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assisting our board of directors with the oversight of our key risks, including those associated with our insurance business and investment portfolios, including credit, underwriting, pricing risk, market risk and liquidity risk;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investment guidelines.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risk committee will operate under a written charter, which will be effective prior to the completion of this offering and available on our website at the completion of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or concurrently with the completion of this offering, our board of directors will adopt our Parent’s code of business conduct and ethics that applies to our directors, officers and employees and complies with the requirements of applicable rules and regulations of the SEC and Nasdaq. Upon the effectiveness of the registration statement of which this prospectus forms a part, our code of business conduct and ethics will be available on the investors section of our corporate website. We intend to disclose future amendments to our code of business conduct and ethics, or any waivers of such code, on our website or in public filings.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 ended December 31, 2020, none of our non-employee directors received or retained equity awards with respect to service on our board of directors or any of its committees. We will have a policy of reimbursing all of our non-employee directors for their reasonable out-of-pocket expenses in connection with attending our board of directors and committee meetings.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is a summary of the compensation arrangements of our named executive officers. As an “emerging growth company” as defined in the JOBS Act, we are not required to include a Compensation Discussion and Analysis section and have elected to comply with the scaled disclosure requirements applicable to emerging growth companies. For 2020, our named executive officers are:</w:t>
      </w:r>
    </w:p>
    <w:p>
      <w:pPr>
        <w:spacing w:after="0" w:line="148"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Rohit Gupta,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Dean Mitchell, Senior Vice President, Chief Financial Officer and Treasurer;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Evan Stolove, Senior Vice President, General Counsel and Secretary.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operate as a business unit of our Parent and, immediately following this offering, will continue to operate as a majority-owned subsidiary of our Parent. During 2020, our named executive officers participated in our Parent’s compensation and benefit plans. As a result, this section discusses our Parent’s compensation and benefit plans as they applied to our named executive officers.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Following the completion of this offering, our Compensation Committee will oversee our compensation plans, policies and programs for our named executive officers, and may choose to implement compensation plans, policies and programs for our named executive officers that are different from those described in this section.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Parent’s compensation and benefit plans are designed to attract, retain and motivate employees of superior ability who are dedicated to the long-term interests of our Parent’s stockholders. Our Parent’s 2020 annual executive compensation program consisted of the following key elements: base salary; annual cash bonuses; and annual long-term incentive grants in the form of performance stock units (“PSUs”), time-vested restricted stock units (“RSUs”) and/or time-vested deferred cash awards (“Deferred Cash”). In addition, our Parent provides certain retirement benefits and perquisites, as described in greater detail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recognize sustained performance over time and be market competitive. Please see the “Salary” column in the 2020 Summary Compensation Table for the base salary amounts provided by our Parent to each of our named executive officers in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Parent’s annual incentive program is designed to reward participants for performance against pre-established financial objectives and the achievement of operational objectives and other accomplishments linked to strategic priorities that are not necessarily reflected in our Parent’s annual financial results. Each participant in the annual incentive program has an annual incentive target, expressed as a percentage of base salary. The 2020 target annual incentive opportunities for our named executive officers ranged from 40% to 125% of base salary.</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 sets performance targets for the annual incentive program that are designed to be aligned with the achievement of our Parent’s annual business operating plan, with above target payouts for exceeding the plan and below target or no payouts for not meeting the plan. When establishing the annual business operating plan, our Parent considers many factors and assumptions, including the competitive landscape, the global economic environment, market trends, interest rates, and regulatory considerations. For 2020, the applicable financial objectives for the GMHI business included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and operating return on equity, each of which were identified as key drivers of our Parent’s business operating plan. For 2020, the GMHI business operational objectives and strategic priorities included loss management, capital management and liquidity initiatives, and risk mitigation and pricing sensitivity, each of which were designed to have an impact on our Parent’s financial performance and stockholder value.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determining the actual payouts under the annual incentive program, our Parent assesses overall performance results against the applicable financial objectives, operational objectives and strategic priorities, and also considers the performance of each participant in their respective area of responsibility. Based on GMHI’s 2020 performance against the applicable financial objectives, operational objectives and strategic priorities, and after considering each participant’s individual performance and accomplishments in their functional area of responsibility, our Parent provided our named executive officers with individual annual incentive payouts based on their target bonus opportunities. Please see the “Non-Equity Incentive Compensation” column in the 2020 Summary Compensation Table for the amount of the annual incentives paid to each of our named executive officers for 2020.</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Parent believes that a significant component of annual compensation opportunities for executive officers should be in the form of long-term incentives, including annual long-term equity and deferred cash awards. For 2020, our CEO received long -term incentives in the form of PSUs and RSUs, and our other named executive officers received long-term incentives in the form of Deferred Cash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Stock Units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PSUs granted to our CEO in 2020 vest based on the achievement of performance goals relating to certain financial metrics that are key drivers of our Parent’s multi-year business operating plan, a significant component of which is the GMHI business’ adjusted operating income, measured over one cumulative three-year performance measurement period. No payout is earned for performance below the threshold performance level for a given performance measurement period, while performance at the threshold performance level would result in 50% of the target PSUs vesting, and performance at the maximum performance level would result in 200% of the target PSUs vesting. PSUs are generally forfeited upon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Please see the “Stock Awards” column in the 2020 Summary Compensation Table for the grant date fair value of the PSUs granted to our CEO in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RSUs granted to our CEO in 2020 vest in three equal installments on each of the first three anniversaries of the grant date, subject to the participant’s continued employment through the applicable vesting date. RSUs are generally forfeited upon a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w:t>
      </w:r>
      <w:r>
        <w:rPr>
          <w:rFonts w:ascii="Arial" w:cs="Arial" w:eastAsia="Arial" w:hAnsi="Arial"/>
          <w:sz w:val="18"/>
          <w:szCs w:val="18"/>
          <w:color w:val="auto"/>
        </w:rPr>
        <w:t>” Please see the “Stock Awards” column in the 2020 Summary Compensation Table for the grant date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RSUs granted to our CEO in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Cash-Based Awards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Deferred Cash awards granted to our named executive officers other than our CEO in 2020 vest in three equal installments on each of the first three anniversaries of the grant date, subject to the participant’s continued employment through the applicable vesting date. Deferred Cash awards are generally forfeited upon a termination of employment prior to vesting, except for certain qualifying terminations, as described in greater detail below under “</w:t>
      </w:r>
      <w:r>
        <w:rPr>
          <w:rFonts w:ascii="Arial" w:cs="Arial" w:eastAsia="Arial" w:hAnsi="Arial"/>
          <w:sz w:val="18"/>
          <w:szCs w:val="18"/>
          <w:i w:val="1"/>
          <w:iCs w:val="1"/>
          <w:color w:val="auto"/>
        </w:rPr>
        <w:t>Potential Payment Upon Termination or Change in Control.</w:t>
      </w:r>
      <w:r>
        <w:rPr>
          <w:rFonts w:ascii="Arial" w:cs="Arial" w:eastAsia="Arial" w:hAnsi="Arial"/>
          <w:sz w:val="18"/>
          <w:szCs w:val="18"/>
          <w:color w:val="auto"/>
        </w:rPr>
        <w:t>” Pursuant to the SEC’s disclosure rules, payouts with respect to the Deferred Cash awards granted to our named executive officers other than our CEO in 2020 will be reported in the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column in the Summary Compensation Table for the year in which such awards as paid out, as opposed to the year of grant.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Deferred Cash awards granted to them in 2020, Messrs. Mitchell and Stolove received payouts in 2020 of Deferred Cash awards granted in prior years that became vested in 2020 based on continued service through the applicable vesting date in the amounts of $101,666 and $80,333, respectively. These awards became payable 100% on March 15, 2020, subject to their continued employment on such date. Please see the “Bonus” column in the 2020 Summary Compensation Table for the amount of such payouts to our named executive officers other than our CEO in 2020.</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our CEO received a payout in early 2021 of performance-based cash awards originally granted to him in 2018 that became vested based upon the achievement of performance goals relating to the three year period beginning on January 1, 2018 and ending on December 31, 2020. These awards became payable based on our Parent’s achievement of performance goals relating to our Parent’s adjusted operating income, measured over three discrete performance measurement periods corresponding to each calendar year in the performance period and his continued service through such date. In early 2021, performance under each measurement period was independently weighted and the results for each performance measurement period were multiplied by the applicable weightings and then added together to determine the total payout. Please see the “Non-Equity Incentive Compensation” column in the 2020 Summary Compensation Table for the amount of such payout to our CEO with respect to the performance period ending in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Messrs. Mitchell and Stolove received payouts in 2020 of cash-based management awards granted in 2020 in the amounts of $20,000 and $15,000, respectively. These awards became payable 100% on September 2, 2020, subject to the named executive officer’s continued employment on such date. Please see the “Bonus” column in the 2020 Summary Compensation Table for the amount of such payouts to our named executive officers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401(k) Plan</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a qualified 401(k) savings plan which allows participants, including our named executive officers, to defer up to 50% of eligible pay, subject to certain Internal Revenue Service limits. Our Parent matches 100% of participant contributions up to the first 4% of eligible pay a participant defers, and 50% of participant contributions on the next 2% of eligible pay. Participants are always vested in their contributions to the plan and are vested in company matching contributions after two years of service. Our Parent’s qualified 401(k) savings plan also includes a Retirement Account Feature for all eligible employees, including our named executive officers, based on a schedule of completed years of service and age, pursuant to which our Parent automatically contributes a percentage of their annual pay to an individual account on their behalf even if they do not otherwise participate in the 401(k) savings plan. The majority of our Parent’s employees receive 3% or 4% of eligible pay through this feature and are vested after three years of service.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Restoration Plan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Parent maintains the Retirement and Savings Restoration Plan (the “Restoration Plan”), a non-qualified defined contribution plan, which provides eligible executives, including our named executive officers, with benefits generally equal to any matching contributions that they are precluded from receiving under the 401(k) savings plan as a result of Internal Revenue Service limits. Participants become vested with respect to the matching contributions under the Restoration Plan as of the earlier of reaching age 60 or attaining three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Pension Benefits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the SERP, which is a non-qualified defined benefit plan maintained to provide eligible executives, including our CEO, with additional retirement benefits. The annual SERP benefit is a life annuity equal to a fixed percentage multiplied by the participant’s years of benefit service and the participant’s average annual compensation (based on the highest consecutive 36-month period within the last 120-month period prior to separation from service), with the result not to exceed 40% of the participant’s average annual compensation. The SERP benefit is then reduced by the value of the participant’s account balance under the Retirement Account Feature of the 401(k) savings plan, as converted to an annual annuity.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participant in the SERP will partially vest with regard to their benefit when they reach age 55 and have earned five years of service based on a scale ranging from 50% at age 55 and increasing by 10% each year until the participant reaches full vesting at age 60. If a participant resigns before vesting, then his or her SERP benefit will be forfeited. Benefit payments under the SERP will begin following a participant’s qualifying separation from service, but not earlier than age 60.</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future SERP benefit accruals were frozen as of December 31, 2020. In addition, existing SERP participants (including our CEO) were offered an opportunity to make an irrevocable, one-time election before the end of 2015 to freeze their SERP benefit accruals early, effective December 31, 2015, and begin receiving restoration benefits under the Restoration Plan as of January 1, 2016. Our CEO made this election.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Benefits and Perquisites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Parent provides our named executive officers with an individually-owned universal life insurance policy, which is available to all of our Parent’s U.S.-based executives. In addition, our CEO has the opportunity to receive an annual physical examination. Our Parent also provides a limited number of other perquisites intended to keep executives, including our named executive officers, focused on company business with minimal distraction, including the opportunity to receive financial planning and tax preparation assistance.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vMerge w:val="restart"/>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2"/>
              </w:rPr>
              <w:t>Salary ($)</w:t>
            </w:r>
            <w:r>
              <w:rPr>
                <w:rFonts w:ascii="Arial" w:cs="Arial" w:eastAsia="Arial" w:hAnsi="Arial"/>
                <w:sz w:val="16"/>
                <w:szCs w:val="16"/>
                <w:b w:val="1"/>
                <w:bCs w:val="1"/>
                <w:color w:val="auto"/>
                <w:w w:val="92"/>
                <w:vertAlign w:val="superscript"/>
              </w:rPr>
              <w:t>(1)</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3"/>
              </w:rPr>
              <w:t>Bonus ($)</w:t>
            </w:r>
            <w:r>
              <w:rPr>
                <w:rFonts w:ascii="Arial" w:cs="Arial" w:eastAsia="Arial" w:hAnsi="Arial"/>
                <w:sz w:val="16"/>
                <w:szCs w:val="16"/>
                <w:b w:val="1"/>
                <w:bCs w:val="1"/>
                <w:color w:val="auto"/>
                <w:w w:val="93"/>
                <w:vertAlign w:val="superscript"/>
              </w:rPr>
              <w:t>(2)</w:t>
            </w:r>
          </w:p>
        </w:tc>
        <w:tc>
          <w:tcPr>
            <w:tcW w:w="100" w:type="dxa"/>
            <w:vAlign w:val="bottom"/>
            <w:vMerge w:val="restart"/>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Non-Equity Incentive</w:t>
            </w:r>
          </w:p>
        </w:tc>
        <w:tc>
          <w:tcPr>
            <w:tcW w:w="1640" w:type="dxa"/>
            <w:vAlign w:val="bottom"/>
            <w:gridSpan w:val="3"/>
          </w:tcPr>
          <w:p>
            <w:pPr>
              <w:ind w:left="40"/>
              <w:spacing w:after="0"/>
              <w:rPr>
                <w:sz w:val="20"/>
                <w:szCs w:val="20"/>
                <w:color w:val="auto"/>
              </w:rPr>
            </w:pPr>
            <w:r>
              <w:rPr>
                <w:rFonts w:ascii="Arial" w:cs="Arial" w:eastAsia="Arial" w:hAnsi="Arial"/>
                <w:sz w:val="13"/>
                <w:szCs w:val="13"/>
                <w:b w:val="1"/>
                <w:bCs w:val="1"/>
                <w:color w:val="auto"/>
              </w:rPr>
              <w:t>All Other Compensation</w:t>
            </w:r>
          </w:p>
        </w:tc>
        <w:tc>
          <w:tcPr>
            <w:tcW w:w="220" w:type="dxa"/>
            <w:vAlign w:val="bottom"/>
          </w:tcPr>
          <w:p>
            <w:pPr>
              <w:spacing w:after="0"/>
              <w:rPr>
                <w:sz w:val="12"/>
                <w:szCs w:val="12"/>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 xml:space="preserve">Total </w:t>
            </w:r>
            <w:r>
              <w:rPr>
                <w:rFonts w:ascii="Arial" w:cs="Arial" w:eastAsia="Arial" w:hAnsi="Arial"/>
                <w:sz w:val="16"/>
                <w:szCs w:val="16"/>
                <w:b w:val="1"/>
                <w:bCs w:val="1"/>
                <w:color w:val="auto"/>
                <w:vertAlign w:val="superscript"/>
              </w:rPr>
              <w:t>($)</w:t>
            </w:r>
          </w:p>
        </w:tc>
        <w:tc>
          <w:tcPr>
            <w:tcW w:w="0" w:type="dxa"/>
            <w:vAlign w:val="bottom"/>
          </w:tcPr>
          <w:p>
            <w:pPr>
              <w:spacing w:after="0"/>
              <w:rPr>
                <w:sz w:val="1"/>
                <w:szCs w:val="1"/>
                <w:color w:val="auto"/>
              </w:rPr>
            </w:pPr>
          </w:p>
        </w:tc>
      </w:tr>
      <w:tr>
        <w:trPr>
          <w:trHeight w:val="176"/>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2"/>
          </w:tcPr>
          <w:p>
            <w:pPr>
              <w:jc w:val="center"/>
              <w:spacing w:after="0" w:line="175" w:lineRule="exact"/>
              <w:rPr>
                <w:sz w:val="20"/>
                <w:szCs w:val="20"/>
                <w:color w:val="auto"/>
              </w:rPr>
            </w:pPr>
            <w:r>
              <w:rPr>
                <w:rFonts w:ascii="Arial" w:cs="Arial" w:eastAsia="Arial" w:hAnsi="Arial"/>
                <w:sz w:val="13"/>
                <w:szCs w:val="13"/>
                <w:b w:val="1"/>
                <w:bCs w:val="1"/>
                <w:color w:val="auto"/>
                <w:w w:val="94"/>
              </w:rPr>
              <w:t>Plan Compensation ($)</w:t>
            </w:r>
            <w:r>
              <w:rPr>
                <w:rFonts w:ascii="Arial" w:cs="Arial" w:eastAsia="Arial" w:hAnsi="Arial"/>
                <w:sz w:val="16"/>
                <w:szCs w:val="16"/>
                <w:b w:val="1"/>
                <w:bCs w:val="1"/>
                <w:color w:val="auto"/>
                <w:w w:val="94"/>
                <w:vertAlign w:val="superscript"/>
              </w:rPr>
              <w:t>(4)</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77"/>
              <w:spacing w:after="0" w:line="176" w:lineRule="exact"/>
              <w:rPr>
                <w:sz w:val="20"/>
                <w:szCs w:val="20"/>
                <w:color w:val="auto"/>
              </w:rPr>
            </w:pPr>
            <w:r>
              <w:rPr>
                <w:rFonts w:ascii="Arial" w:cs="Arial" w:eastAsia="Arial" w:hAnsi="Arial"/>
                <w:sz w:val="20"/>
                <w:szCs w:val="20"/>
                <w:b w:val="1"/>
                <w:bCs w:val="1"/>
                <w:color w:val="auto"/>
                <w:w w:val="91"/>
                <w:vertAlign w:val="subscript"/>
              </w:rPr>
              <w:t>)</w:t>
            </w:r>
            <w:r>
              <w:rPr>
                <w:rFonts w:ascii="Arial" w:cs="Arial" w:eastAsia="Arial" w:hAnsi="Arial"/>
                <w:sz w:val="7"/>
                <w:szCs w:val="7"/>
                <w:b w:val="1"/>
                <w:bCs w:val="1"/>
                <w:color w:val="auto"/>
                <w:w w:val="91"/>
              </w:rPr>
              <w:t>(5)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Rohit Gupta,</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879,362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2,378,733</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196,270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4,054,365</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President &amp; Chief Executive Officer</w:t>
            </w: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Dean Mitchell,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80"/>
              <w:spacing w:after="0" w:line="135" w:lineRule="exact"/>
              <w:rPr>
                <w:sz w:val="20"/>
                <w:szCs w:val="20"/>
                <w:color w:val="auto"/>
              </w:rPr>
            </w:pPr>
            <w:r>
              <w:rPr>
                <w:rFonts w:ascii="Arial" w:cs="Arial" w:eastAsia="Arial" w:hAnsi="Arial"/>
                <w:sz w:val="14"/>
                <w:szCs w:val="14"/>
                <w:i w:val="1"/>
                <w:iCs w:val="1"/>
                <w:color w:val="auto"/>
              </w:rPr>
              <w:t>SVP, Chief Financial Officer &amp;</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323,539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121,666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292,000</w:t>
            </w:r>
          </w:p>
        </w:tc>
        <w:tc>
          <w:tcPr>
            <w:tcW w:w="100" w:type="dxa"/>
            <w:vAlign w:val="bottom"/>
          </w:tcPr>
          <w:p>
            <w:pPr>
              <w:spacing w:after="0"/>
              <w:rPr>
                <w:sz w:val="11"/>
                <w:szCs w:val="11"/>
                <w:color w:val="auto"/>
              </w:rPr>
            </w:pPr>
          </w:p>
        </w:tc>
        <w:tc>
          <w:tcPr>
            <w:tcW w:w="760" w:type="dxa"/>
            <w:vAlign w:val="bottom"/>
            <w:vMerge w:val="restart"/>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64,001</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801,206</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80"/>
              <w:spacing w:after="0"/>
              <w:rPr>
                <w:sz w:val="20"/>
                <w:szCs w:val="20"/>
                <w:color w:val="auto"/>
              </w:rPr>
            </w:pPr>
            <w:r>
              <w:rPr>
                <w:rFonts w:ascii="Arial" w:cs="Arial" w:eastAsia="Arial" w:hAnsi="Arial"/>
                <w:sz w:val="14"/>
                <w:szCs w:val="14"/>
                <w:i w:val="1"/>
                <w:iCs w:val="1"/>
                <w:color w:val="auto"/>
              </w:rPr>
              <w:t>Treasurer</w:t>
            </w: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Evan Stolove,</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309,885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215,000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664,692</w:t>
            </w: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SVP, General Counsel &amp; Secretary</w:t>
            </w: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Amounts reported in this column reflect the base salaries earned during the year.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60" w:lineRule="exact"/>
        <w:rPr>
          <w:sz w:val="20"/>
          <w:szCs w:val="20"/>
          <w:color w:val="auto"/>
        </w:rPr>
      </w:pPr>
    </w:p>
    <w:p>
      <w:pPr>
        <w:ind w:left="340" w:hanging="332"/>
        <w:spacing w:after="0" w:line="260" w:lineRule="auto"/>
        <w:tabs>
          <w:tab w:leader="none" w:pos="33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Amounts reported in this column reflect (i) the value of management awards earned and paid 2020 and (ii) the value received in 2020 upon the vesting of Deferred Cash awards originally granted in prior years, in each case in the following amounts:</w:t>
      </w:r>
    </w:p>
    <w:tbl>
      <w:tblPr>
        <w:tblLayout w:type="fixed"/>
        <w:tblInd w:w="340" w:type="dxa"/>
        <w:tblCellMar>
          <w:top w:w="0" w:type="dxa"/>
          <w:left w:w="0" w:type="dxa"/>
          <w:bottom w:w="0" w:type="dxa"/>
          <w:right w:w="0" w:type="dxa"/>
        </w:tblCellMar>
      </w:tblPr>
      <w:tr>
        <w:trPr>
          <w:trHeight w:val="153"/>
        </w:trPr>
        <w:tc>
          <w:tcPr>
            <w:tcW w:w="30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258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Annual Incentive Program</w:t>
            </w:r>
          </w:p>
        </w:tc>
        <w:tc>
          <w:tcPr>
            <w:tcW w:w="2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Performance-Based Cash Awards</w:t>
            </w:r>
          </w:p>
        </w:tc>
        <w:tc>
          <w:tcPr>
            <w:tcW w:w="2280" w:type="dxa"/>
            <w:vAlign w:val="bottom"/>
          </w:tcPr>
          <w:p>
            <w:pPr>
              <w:ind w:left="96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Dean Mitchell</w:t>
            </w: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$20,000</w:t>
            </w: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$101,666</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$121,666</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$15,000</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$80,333</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$95,333</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left="340" w:hanging="332"/>
        <w:spacing w:after="0" w:line="246" w:lineRule="auto"/>
        <w:tabs>
          <w:tab w:leader="none" w:pos="3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Amounts reported in this column reflect the aggregate grant date fair value of the RSUs ($473,193) and PSUs ($406,168) awarded to our CEO during 2020, determined in accordance with FASB ASC Topic 718. The grant date fair value for the RSUs is based on the stock price of a share of our Parent’s common stock on the date of grant. The grant date fair value of the PSUs is based on the stock price of a share of our Parent’s common stock on the date of grant and the probable achievement level of the performance goals at the time of grant. Assuming achievement of the PSU performance conditions at the highest level (rather than at the deemed probable attainment level reflected in the table), the aggregate grant date fair value of the 2020 PSUs granted to our CEO would be $812,337.</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Amounts reported in this column reflect (i) bonus payouts under our annual incentive program based on performance in 2020 and (ii) the vesting of performance-based cash awards granted in 2018 that were earned based on performance and continued service during the three-year performance period ending in 2020, in each case in the following amounts:</w:t>
      </w:r>
    </w:p>
    <w:tbl>
      <w:tblPr>
        <w:tblLayout w:type="fixed"/>
        <w:tblInd w:w="340" w:type="dxa"/>
        <w:tblCellMar>
          <w:top w:w="0" w:type="dxa"/>
          <w:left w:w="0" w:type="dxa"/>
          <w:bottom w:w="0" w:type="dxa"/>
          <w:right w:w="0" w:type="dxa"/>
        </w:tblCellMar>
      </w:tblPr>
      <w:tr>
        <w:trPr>
          <w:trHeight w:val="159"/>
        </w:trPr>
        <w:tc>
          <w:tcPr>
            <w:tcW w:w="30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2580" w:type="dxa"/>
            <w:vAlign w:val="bottom"/>
            <w:gridSpan w:val="2"/>
          </w:tcPr>
          <w:p>
            <w:pPr>
              <w:ind w:left="340"/>
              <w:spacing w:after="0" w:line="159" w:lineRule="exact"/>
              <w:rPr>
                <w:sz w:val="20"/>
                <w:szCs w:val="20"/>
                <w:color w:val="auto"/>
              </w:rPr>
            </w:pPr>
            <w:r>
              <w:rPr>
                <w:rFonts w:ascii="Arial" w:cs="Arial" w:eastAsia="Arial" w:hAnsi="Arial"/>
                <w:sz w:val="14"/>
                <w:szCs w:val="14"/>
                <w:b w:val="1"/>
                <w:bCs w:val="1"/>
                <w:color w:val="auto"/>
              </w:rPr>
              <w:t>Annual Incentive Program</w:t>
            </w:r>
          </w:p>
        </w:tc>
        <w:tc>
          <w:tcPr>
            <w:tcW w:w="24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Performance-Based Cash Awards</w:t>
            </w:r>
          </w:p>
        </w:tc>
        <w:tc>
          <w:tcPr>
            <w:tcW w:w="2280" w:type="dxa"/>
            <w:vAlign w:val="bottom"/>
          </w:tcPr>
          <w:p>
            <w:pPr>
              <w:ind w:left="9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$1,400,000</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$978,733</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$2,378,733</w:t>
            </w: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Arial" w:cs="Arial" w:eastAsia="Arial" w:hAnsi="Arial"/>
                <w:sz w:val="18"/>
                <w:szCs w:val="18"/>
                <w:color w:val="auto"/>
              </w:rPr>
              <w:t>Dean Mitchell</w:t>
            </w:r>
          </w:p>
        </w:tc>
        <w:tc>
          <w:tcPr>
            <w:tcW w:w="2480" w:type="dxa"/>
            <w:vAlign w:val="bottom"/>
          </w:tcPr>
          <w:p>
            <w:pPr>
              <w:jc w:val="center"/>
              <w:spacing w:after="0"/>
              <w:rPr>
                <w:sz w:val="20"/>
                <w:szCs w:val="20"/>
                <w:color w:val="auto"/>
              </w:rPr>
            </w:pPr>
            <w:r>
              <w:rPr>
                <w:rFonts w:ascii="Arial" w:cs="Arial" w:eastAsia="Arial" w:hAnsi="Arial"/>
                <w:sz w:val="18"/>
                <w:szCs w:val="18"/>
                <w:color w:val="auto"/>
              </w:rPr>
              <w:t>$292,000</w:t>
            </w:r>
          </w:p>
        </w:tc>
        <w:tc>
          <w:tcPr>
            <w:tcW w:w="100" w:type="dxa"/>
            <w:vAlign w:val="bottom"/>
          </w:tcPr>
          <w:p>
            <w:pPr>
              <w:spacing w:after="0"/>
              <w:rPr>
                <w:sz w:val="19"/>
                <w:szCs w:val="19"/>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$292,000</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$215,000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40" w:hanging="332"/>
        <w:spacing w:after="0" w:line="260" w:lineRule="auto"/>
        <w:tabs>
          <w:tab w:leader="none" w:pos="3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Amounts reported in this column include company contributions to our Parent’s retirement plans, financial counseling and/or tax preparation fees, company-paid life insurance premiums and other minor company-sponsored benefits (including an annual physical examination for our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information regarding the outstanding Parent equity awards held by our CEO as of December 31, 2020. As of December 31, 2020, none of our named executive officers held outstanding GMHI equity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 Incentive</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Equity Incentive</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 Awards:</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Securities</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 Value of</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Market or Payout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Underlying</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Unearned</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Unexercised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 Exercise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Units or</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Options</w:t>
            </w:r>
          </w:p>
        </w:tc>
        <w:tc>
          <w:tcPr>
            <w:tcW w:w="1360" w:type="dxa"/>
            <w:vAlign w:val="bottom"/>
            <w:gridSpan w:val="2"/>
            <w:vMerge w:val="continue"/>
          </w:tcPr>
          <w:p>
            <w:pPr>
              <w:spacing w:after="0"/>
              <w:rPr>
                <w:sz w:val="11"/>
                <w:szCs w:val="11"/>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 Expiration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Stock That</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 Stock That</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Other Rights That</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Units or Other</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Price</w:t>
            </w:r>
          </w:p>
        </w:tc>
        <w:tc>
          <w:tcPr>
            <w:tcW w:w="134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Have Not Vested</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Rights That Have</w:t>
            </w:r>
          </w:p>
        </w:tc>
        <w:tc>
          <w:tcPr>
            <w:tcW w:w="0" w:type="dxa"/>
            <w:vAlign w:val="bottom"/>
          </w:tcPr>
          <w:p>
            <w:pPr>
              <w:spacing w:after="0"/>
              <w:rPr>
                <w:sz w:val="1"/>
                <w:szCs w:val="1"/>
                <w:color w:val="auto"/>
              </w:rPr>
            </w:pPr>
          </w:p>
        </w:tc>
      </w:tr>
      <w:tr>
        <w:trPr>
          <w:trHeight w:val="175"/>
        </w:trPr>
        <w:tc>
          <w:tcPr>
            <w:tcW w:w="1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 Vested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1340" w:type="dxa"/>
            <w:vAlign w:val="bottom"/>
            <w:gridSpan w:val="2"/>
            <w:shd w:val="clear" w:color="auto" w:fill="CCEEFF"/>
          </w:tcPr>
          <w:p>
            <w:pPr>
              <w:jc w:val="center"/>
              <w:ind w:left="14"/>
              <w:spacing w:after="0" w:line="236" w:lineRule="exact"/>
              <w:rPr>
                <w:sz w:val="20"/>
                <w:szCs w:val="20"/>
                <w:color w:val="auto"/>
              </w:rPr>
            </w:pPr>
            <w:r>
              <w:rPr>
                <w:rFonts w:ascii="Arial" w:cs="Arial" w:eastAsia="Arial" w:hAnsi="Arial"/>
                <w:sz w:val="18"/>
                <w:szCs w:val="18"/>
                <w:color w:val="auto"/>
                <w:w w:val="92"/>
              </w:rPr>
              <w:t>24,000</w:t>
            </w:r>
            <w:r>
              <w:rPr>
                <w:rFonts w:ascii="Arial" w:cs="Arial" w:eastAsia="Arial" w:hAnsi="Arial"/>
                <w:sz w:val="23"/>
                <w:szCs w:val="23"/>
                <w:color w:val="auto"/>
                <w:w w:val="92"/>
                <w:vertAlign w:val="superscript"/>
              </w:rPr>
              <w:t>(2)</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$15.23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2/20/24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6" w:lineRule="exact"/>
              <w:rPr>
                <w:sz w:val="20"/>
                <w:szCs w:val="20"/>
                <w:color w:val="auto"/>
              </w:rPr>
            </w:pPr>
            <w:r>
              <w:rPr>
                <w:rFonts w:ascii="Arial" w:cs="Arial" w:eastAsia="Arial" w:hAnsi="Arial"/>
                <w:sz w:val="18"/>
                <w:szCs w:val="18"/>
                <w:color w:val="auto"/>
                <w:w w:val="93"/>
              </w:rPr>
              <w:t>134,049</w:t>
            </w:r>
            <w:r>
              <w:rPr>
                <w:rFonts w:ascii="Arial" w:cs="Arial" w:eastAsia="Arial" w:hAnsi="Arial"/>
                <w:sz w:val="23"/>
                <w:szCs w:val="23"/>
                <w:color w:val="auto"/>
                <w:w w:val="93"/>
                <w:vertAlign w:val="superscript"/>
              </w:rPr>
              <w:t>(3)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$506,705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line="236" w:lineRule="exact"/>
              <w:rPr>
                <w:sz w:val="20"/>
                <w:szCs w:val="20"/>
                <w:color w:val="auto"/>
              </w:rPr>
            </w:pPr>
            <w:r>
              <w:rPr>
                <w:rFonts w:ascii="Arial" w:cs="Arial" w:eastAsia="Arial" w:hAnsi="Arial"/>
                <w:sz w:val="18"/>
                <w:szCs w:val="18"/>
                <w:color w:val="auto"/>
                <w:w w:val="96"/>
              </w:rPr>
              <w:t>134,049(</w:t>
            </w:r>
            <w:r>
              <w:rPr>
                <w:rFonts w:ascii="Arial" w:cs="Arial" w:eastAsia="Arial" w:hAnsi="Arial"/>
                <w:sz w:val="23"/>
                <w:szCs w:val="23"/>
                <w:color w:val="auto"/>
                <w:w w:val="96"/>
                <w:vertAlign w:val="superscript"/>
              </w:rPr>
              <w:t>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$506,705</w:t>
            </w:r>
          </w:p>
        </w:tc>
        <w:tc>
          <w:tcPr>
            <w:tcW w:w="0" w:type="dxa"/>
            <w:vAlign w:val="bottom"/>
          </w:tcPr>
          <w:p>
            <w:pPr>
              <w:spacing w:after="0"/>
              <w:rPr>
                <w:sz w:val="1"/>
                <w:szCs w:val="1"/>
                <w:color w:val="auto"/>
              </w:rPr>
            </w:pPr>
          </w:p>
        </w:tc>
      </w:tr>
      <w:tr>
        <w:trPr>
          <w:trHeight w:val="256"/>
        </w:trPr>
        <w:tc>
          <w:tcPr>
            <w:tcW w:w="1780" w:type="dxa"/>
            <w:vAlign w:val="bottom"/>
            <w:vMerge w:val="restart"/>
          </w:tcPr>
          <w:p>
            <w:pPr>
              <w:ind w:left="20"/>
              <w:spacing w:after="0"/>
              <w:rPr>
                <w:sz w:val="20"/>
                <w:szCs w:val="20"/>
                <w:color w:val="auto"/>
              </w:rPr>
            </w:pPr>
            <w:r>
              <w:rPr>
                <w:rFonts w:ascii="Arial" w:cs="Arial" w:eastAsia="Arial" w:hAnsi="Arial"/>
                <w:sz w:val="18"/>
                <w:szCs w:val="18"/>
                <w:color w:val="auto"/>
              </w:rPr>
              <w:t>Rohit Gupta</w:t>
            </w:r>
          </w:p>
        </w:tc>
        <w:tc>
          <w:tcPr>
            <w:tcW w:w="1340" w:type="dxa"/>
            <w:vAlign w:val="bottom"/>
            <w:gridSpan w:val="2"/>
          </w:tcPr>
          <w:p>
            <w:pPr>
              <w:jc w:val="center"/>
              <w:ind w:left="14"/>
              <w:spacing w:after="0" w:line="256" w:lineRule="exact"/>
              <w:rPr>
                <w:sz w:val="20"/>
                <w:szCs w:val="20"/>
                <w:color w:val="auto"/>
              </w:rPr>
            </w:pPr>
            <w:r>
              <w:rPr>
                <w:rFonts w:ascii="Arial" w:cs="Arial" w:eastAsia="Arial" w:hAnsi="Arial"/>
                <w:sz w:val="18"/>
                <w:szCs w:val="18"/>
                <w:color w:val="auto"/>
                <w:w w:val="92"/>
              </w:rPr>
              <w:t>26,400</w:t>
            </w:r>
            <w:r>
              <w:rPr>
                <w:rFonts w:ascii="Arial" w:cs="Arial" w:eastAsia="Arial" w:hAnsi="Arial"/>
                <w:sz w:val="23"/>
                <w:szCs w:val="23"/>
                <w:color w:val="auto"/>
                <w:w w:val="92"/>
                <w:vertAlign w:val="superscript"/>
              </w:rPr>
              <w:t>(2)</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2/15/23</w:t>
            </w:r>
          </w:p>
        </w:tc>
        <w:tc>
          <w:tcPr>
            <w:tcW w:w="100" w:type="dxa"/>
            <w:vAlign w:val="bottom"/>
          </w:tcPr>
          <w:p>
            <w:pPr>
              <w:spacing w:after="0"/>
              <w:rPr>
                <w:sz w:val="22"/>
                <w:szCs w:val="22"/>
                <w:color w:val="auto"/>
              </w:rPr>
            </w:pPr>
          </w:p>
        </w:tc>
        <w:tc>
          <w:tcPr>
            <w:tcW w:w="1260" w:type="dxa"/>
            <w:vAlign w:val="bottom"/>
          </w:tcPr>
          <w:p>
            <w:pPr>
              <w:jc w:val="center"/>
              <w:spacing w:after="0" w:line="256" w:lineRule="exact"/>
              <w:rPr>
                <w:sz w:val="20"/>
                <w:szCs w:val="20"/>
                <w:color w:val="auto"/>
              </w:rPr>
            </w:pPr>
            <w:r>
              <w:rPr>
                <w:rFonts w:ascii="Arial" w:cs="Arial" w:eastAsia="Arial" w:hAnsi="Arial"/>
                <w:sz w:val="18"/>
                <w:szCs w:val="18"/>
                <w:color w:val="auto"/>
                <w:w w:val="94"/>
              </w:rPr>
              <w:t>90,091</w:t>
            </w:r>
            <w:r>
              <w:rPr>
                <w:rFonts w:ascii="Arial" w:cs="Arial" w:eastAsia="Arial" w:hAnsi="Arial"/>
                <w:sz w:val="23"/>
                <w:szCs w:val="23"/>
                <w:color w:val="auto"/>
                <w:w w:val="94"/>
                <w:vertAlign w:val="superscript"/>
              </w:rPr>
              <w:t>(4)</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$340,544</w:t>
            </w:r>
          </w:p>
        </w:tc>
        <w:tc>
          <w:tcPr>
            <w:tcW w:w="100" w:type="dxa"/>
            <w:vAlign w:val="bottom"/>
          </w:tcPr>
          <w:p>
            <w:pPr>
              <w:spacing w:after="0"/>
              <w:rPr>
                <w:sz w:val="22"/>
                <w:szCs w:val="22"/>
                <w:color w:val="auto"/>
              </w:rPr>
            </w:pPr>
          </w:p>
        </w:tc>
        <w:tc>
          <w:tcPr>
            <w:tcW w:w="1260" w:type="dxa"/>
            <w:vAlign w:val="bottom"/>
          </w:tcPr>
          <w:p>
            <w:pPr>
              <w:jc w:val="center"/>
              <w:spacing w:after="0" w:line="256" w:lineRule="exact"/>
              <w:rPr>
                <w:sz w:val="20"/>
                <w:szCs w:val="20"/>
                <w:color w:val="auto"/>
              </w:rPr>
            </w:pPr>
            <w:r>
              <w:rPr>
                <w:rFonts w:ascii="Arial" w:cs="Arial" w:eastAsia="Arial" w:hAnsi="Arial"/>
                <w:sz w:val="18"/>
                <w:szCs w:val="18"/>
                <w:color w:val="auto"/>
                <w:w w:val="93"/>
              </w:rPr>
              <w:t>135,136</w:t>
            </w:r>
            <w:r>
              <w:rPr>
                <w:rFonts w:ascii="Arial" w:cs="Arial" w:eastAsia="Arial" w:hAnsi="Arial"/>
                <w:sz w:val="23"/>
                <w:szCs w:val="23"/>
                <w:color w:val="auto"/>
                <w:w w:val="93"/>
                <w:vertAlign w:val="superscript"/>
              </w:rPr>
              <w:t>(6)</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$510,814</w:t>
            </w: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1340" w:type="dxa"/>
            <w:vAlign w:val="bottom"/>
            <w:gridSpan w:val="2"/>
            <w:vMerge w:val="restart"/>
            <w:shd w:val="clear" w:color="auto" w:fill="CCEEFF"/>
          </w:tcPr>
          <w:p>
            <w:pPr>
              <w:jc w:val="center"/>
              <w:ind w:left="14"/>
              <w:spacing w:after="0" w:line="256" w:lineRule="exact"/>
              <w:rPr>
                <w:sz w:val="20"/>
                <w:szCs w:val="20"/>
                <w:color w:val="auto"/>
              </w:rPr>
            </w:pPr>
            <w:r>
              <w:rPr>
                <w:rFonts w:ascii="Arial" w:cs="Arial" w:eastAsia="Arial" w:hAnsi="Arial"/>
                <w:sz w:val="18"/>
                <w:szCs w:val="18"/>
                <w:color w:val="auto"/>
                <w:w w:val="92"/>
              </w:rPr>
              <w:t>27,600</w:t>
            </w:r>
            <w:r>
              <w:rPr>
                <w:rFonts w:ascii="Arial" w:cs="Arial" w:eastAsia="Arial" w:hAnsi="Arial"/>
                <w:sz w:val="23"/>
                <w:szCs w:val="23"/>
                <w:color w:val="auto"/>
                <w:w w:val="92"/>
                <w:vertAlign w:val="superscript"/>
              </w:rPr>
              <w:t>(2)</w:t>
            </w:r>
          </w:p>
        </w:tc>
        <w:tc>
          <w:tcPr>
            <w:tcW w:w="10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2/14/22</w:t>
            </w:r>
          </w:p>
        </w:tc>
        <w:tc>
          <w:tcPr>
            <w:tcW w:w="10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2"/>
                <w:szCs w:val="22"/>
                <w:color w:val="auto"/>
              </w:rPr>
            </w:pPr>
          </w:p>
        </w:tc>
        <w:tc>
          <w:tcPr>
            <w:tcW w:w="1340" w:type="dxa"/>
            <w:vAlign w:val="bottom"/>
            <w:gridSpan w:val="2"/>
          </w:tcPr>
          <w:p>
            <w:pPr>
              <w:jc w:val="center"/>
              <w:ind w:left="14"/>
              <w:spacing w:after="0" w:line="258" w:lineRule="exact"/>
              <w:rPr>
                <w:sz w:val="20"/>
                <w:szCs w:val="20"/>
                <w:color w:val="auto"/>
              </w:rPr>
            </w:pPr>
            <w:r>
              <w:rPr>
                <w:rFonts w:ascii="Arial" w:cs="Arial" w:eastAsia="Arial" w:hAnsi="Arial"/>
                <w:sz w:val="18"/>
                <w:szCs w:val="18"/>
                <w:color w:val="auto"/>
                <w:w w:val="92"/>
              </w:rPr>
              <w:t>18,000</w:t>
            </w:r>
            <w:r>
              <w:rPr>
                <w:rFonts w:ascii="Arial" w:cs="Arial" w:eastAsia="Arial" w:hAnsi="Arial"/>
                <w:sz w:val="23"/>
                <w:szCs w:val="23"/>
                <w:color w:val="auto"/>
                <w:w w:val="92"/>
                <w:vertAlign w:val="superscript"/>
              </w:rPr>
              <w:t>(2)</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$12.75</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2/9/21</w:t>
            </w:r>
          </w:p>
        </w:tc>
        <w:tc>
          <w:tcPr>
            <w:tcW w:w="100" w:type="dxa"/>
            <w:vAlign w:val="bottom"/>
          </w:tcPr>
          <w:p>
            <w:pPr>
              <w:spacing w:after="0"/>
              <w:rPr>
                <w:sz w:val="22"/>
                <w:szCs w:val="22"/>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the $3.78 closing share price of Parent’s common stock on December 31, 2020.</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fully-vested stock appreciation rights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60"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RSUs vest one-third on 4/7/2021, 4/7/2022 and 4/7/2023, subject to the CEO’s continued employment through the applicable vesting date.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RSUs vest 50% on 5/16/2021 and 5/16/2022 , subject to the CEO’s continued employment through the applicable vesting date.</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2020-2022 PSUs may be earned and become vested based on the level of achievement of certain pre-established performance goals relating to our Parent and continued service over the performance period ending on December 31, 2022. Amounts reported here reflect target levels of achievement of the performance goals pursuant to applicable SEC reporting requirements.</w:t>
      </w:r>
    </w:p>
    <w:p>
      <w:pPr>
        <w:spacing w:after="0" w:line="1"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2019-2021 PSUs may be earned and become vested based on the level of achievement of certain pre-established performance goals relating to our Parent and continued service over the performance period ending on December 31, 2021. Amounts reported here reflect target levels of achievement of the performance goals pursuant to applicable SEC reporting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 maintains an executive severance plan (the “Key Employee Severance Plan”) in which Mr. Gupta is eligible to participate, and has entered into individual severance agreements with each of Messrs. Mitchell and Stolove, in order to provide retentive severance benefits if their employment is terminated under certain circumstances and to align with the severance benefits commonly provided in our market for competing executive talent. In addition, Mr. Gupta is eligible to receive change in control severance benefits under our Parent’s 2014 Change of Control Plan (the “2014 Change of Control Plan”).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Key Employee Severance Plan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Key Employee Severance Plan provides the following benefits to Mr. Gupta in the event of a qualifying termination of employment, which includes a termination by our Parent without “cause” or by our CEO for “good reason” (as such terms are defined in the Key Employee Severance Plan):</w:t>
      </w:r>
    </w:p>
    <w:p>
      <w:pPr>
        <w:spacing w:after="0" w:line="130" w:lineRule="exact"/>
        <w:rPr>
          <w:sz w:val="20"/>
          <w:szCs w:val="20"/>
          <w:color w:val="auto"/>
        </w:rPr>
      </w:pPr>
    </w:p>
    <w:p>
      <w:pPr>
        <w:ind w:left="660" w:right="20" w:hanging="328"/>
        <w:spacing w:after="0" w:line="28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one times the sum of the participant’s base salary plus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Pro rata annual incentive award: </w:t>
      </w:r>
      <w:r>
        <w:rPr>
          <w:rFonts w:ascii="Arial" w:cs="Arial" w:eastAsia="Arial" w:hAnsi="Arial"/>
          <w:sz w:val="18"/>
          <w:szCs w:val="18"/>
          <w:color w:val="auto"/>
        </w:rPr>
        <w:t>a pro-rated annual bonus for the year in which the qualifying termination occurs, paid in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annual bonuses are normally paid based on actual performance results for the year of termination;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Benefits payment: </w:t>
      </w:r>
      <w:r>
        <w:rPr>
          <w:rFonts w:ascii="Arial" w:cs="Arial" w:eastAsia="Arial" w:hAnsi="Arial"/>
          <w:sz w:val="18"/>
          <w:szCs w:val="18"/>
          <w:color w:val="auto"/>
        </w:rPr>
        <w:t>a lump sum cash payment equal to the monthly cost of the employer-paid portion of the cost to provide the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dental, vision, and/or prescription drug plan benefits that the participant had been receiving before the termination, multiplied by 12.</w:t>
      </w:r>
    </w:p>
    <w:p>
      <w:pPr>
        <w:spacing w:after="0" w:line="14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under the terms of the applicable award agreements, upon a termination due to a layoff, the portion of the RSUs held by our CEO that are scheduled to vest on the next designated vesting date will remain outstanding and will be settled as scheduled on the next designated vesting date, and any other remaining unvested portion of the RSUs will be forfeited. Upon death or disability, any unvested RSUs will immediately vest in full. Under the terms of the applicable award agreements, upon a termination due to a layoff or death or disability, any unvested PSUs will remain outstanding and will be earned, if at all, based on actual performance through the end of the performance period, prorated to reflect the portion of the performance period that had elapsed prior to the date of termination. Upon death or disability, any unvested performance -based cash awards will remain outstanding and will be earned, if at all, based on actual performance through the end of the performance period, prorated to reflect the portion of the performance period that had elapsed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Individual Severance Agreements</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individual severance agreements with each of Messrs. Mitchell and Stolove provide the following benefits in the event of a qualifying termination of employment (as described below) prior to December 31, 2021:</w:t>
      </w:r>
    </w:p>
    <w:p>
      <w:pPr>
        <w:spacing w:after="0" w:line="126" w:lineRule="exact"/>
        <w:rPr>
          <w:sz w:val="20"/>
          <w:szCs w:val="20"/>
          <w:color w:val="auto"/>
        </w:rPr>
      </w:pPr>
    </w:p>
    <w:p>
      <w:pPr>
        <w:ind w:left="660" w:right="2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one times the sum of the participant’s base salary plus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Pro rata annual incentive award</w:t>
      </w:r>
      <w:r>
        <w:rPr>
          <w:rFonts w:ascii="Arial" w:cs="Arial" w:eastAsia="Arial" w:hAnsi="Arial"/>
          <w:sz w:val="18"/>
          <w:szCs w:val="18"/>
          <w:color w:val="auto"/>
        </w:rPr>
        <w:t>: a pro-rated annual bonus for the year in which the qualifying termination occurs, paid in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annual bonuses are normally paid based on actual performance results for the year of termination;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Benefits payment</w:t>
      </w:r>
      <w:r>
        <w:rPr>
          <w:rFonts w:ascii="Arial" w:cs="Arial" w:eastAsia="Arial" w:hAnsi="Arial"/>
          <w:sz w:val="18"/>
          <w:szCs w:val="18"/>
          <w:color w:val="auto"/>
        </w:rPr>
        <w:t>: for Mr. Mitchell only, a lump sum cash payment equal to the monthly cost of the employer-paid portion of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the group medical, dental, vision, and/or prescription drug plan benefits that the participant had been receiving before the termination, multiplied by 6.</w:t>
      </w:r>
    </w:p>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purposes of the individual severance agreements, a qualifying termination means there is a layoff and (i) the executive’s employment is terminated, (ii) his base salary is reduced by more than 20% (in the case of Mr. Mitchell, his combined base salary and target annual incentive is reduced by more than 15%) or (iii) his principle work location is relocated by more than 50 miles.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under the terms of the applicable award agreements, upon a termination due to a layoff, the portion of the Deferred Cash awards held by Messrs. Mitchell and Stolove that are scheduled to vest on the next designated vesting date will remain outstanding and will be paid as scheduled on the next designated vesting date, and any other remaining unvested portion of the Deferred Cash awards will be forfeited. Upon death or disability, any unvested Deferred Cash awards will remain outstanding and will be paid as scheduled on the applicable vesting dates.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2014 Change in Control Plan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maintains the 2014 Change of Control Plan (the “2014 Change of Control Plan”) in order to provide change of control severance benefits for a select group of key executives, including our CEO, in the event that the executive’s employment is terminated without “cause” or by the executive for “good reason” within two years following a change of control of our Parent (each a “CIC Qualified Termination”). All benefits under the 2014 Change of Control Plan are “double-trigger” benefits, meaning that no compensation will be paid to participants solely upon the occurrence of a change of control so as to not create an unintended incentive. In the event of a CIC Qualified Termination, our CEO would be eligible to receive the following severance benefits under the 2014 Change of Control Plan:</w:t>
      </w:r>
    </w:p>
    <w:p>
      <w:pPr>
        <w:spacing w:after="0" w:line="136" w:lineRule="exact"/>
        <w:rPr>
          <w:sz w:val="20"/>
          <w:szCs w:val="20"/>
          <w:color w:val="auto"/>
        </w:rPr>
      </w:pPr>
    </w:p>
    <w:p>
      <w:pPr>
        <w:ind w:left="660" w:hanging="328"/>
        <w:spacing w:after="0" w:line="282"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a lump sum cash payment equal to two times the sum of the participant’s base salary and target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w:t>
      </w:r>
    </w:p>
    <w:p>
      <w:pPr>
        <w:spacing w:after="0" w:line="10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Pro rata annual incentive award</w:t>
      </w:r>
      <w:r>
        <w:rPr>
          <w:rFonts w:ascii="Arial" w:cs="Arial" w:eastAsia="Arial" w:hAnsi="Arial"/>
          <w:sz w:val="18"/>
          <w:szCs w:val="18"/>
          <w:color w:val="auto"/>
        </w:rPr>
        <w:t>: a pro-rated annual bonus for the year in which the CIC Qualified Termination occurs, paid in a lump</w:t>
      </w:r>
      <w:r>
        <w:rPr>
          <w:rFonts w:ascii="Arial" w:cs="Arial" w:eastAsia="Arial" w:hAnsi="Arial"/>
          <w:sz w:val="18"/>
          <w:szCs w:val="18"/>
          <w:i w:val="1"/>
          <w:iCs w:val="1"/>
          <w:color w:val="auto"/>
        </w:rPr>
        <w:t xml:space="preserve"> </w:t>
      </w:r>
      <w:r>
        <w:rPr>
          <w:rFonts w:ascii="Arial" w:cs="Arial" w:eastAsia="Arial" w:hAnsi="Arial"/>
          <w:sz w:val="18"/>
          <w:szCs w:val="18"/>
          <w:color w:val="auto"/>
        </w:rPr>
        <w:t>sum within 60 days following termination, with performance determined based on actual performance, to the extent such performance can be reasonably established, or otherwise based on an assumed achievement of all relevant performance goals at target;</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Vesting of time-based long-term incentive awards</w:t>
      </w:r>
      <w:r>
        <w:rPr>
          <w:rFonts w:ascii="Arial" w:cs="Arial" w:eastAsia="Arial" w:hAnsi="Arial"/>
          <w:sz w:val="18"/>
          <w:szCs w:val="18"/>
          <w:color w:val="auto"/>
        </w:rPr>
        <w:t>: time-vesting RSUs become immediately vested as of a CIC Qualified Termination;</w:t>
      </w:r>
    </w:p>
    <w:p>
      <w:pPr>
        <w:spacing w:after="0" w:line="17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Vesting of performance-based long-term incentive awards</w:t>
      </w:r>
      <w:r>
        <w:rPr>
          <w:rFonts w:ascii="Arial" w:cs="Arial" w:eastAsia="Arial" w:hAnsi="Arial"/>
          <w:sz w:val="18"/>
          <w:szCs w:val="18"/>
          <w:color w:val="auto"/>
        </w:rPr>
        <w:t>: PSUs and performance-based cash awards would become vested and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earned based on actual pro rata performance as of the date of a CIC Qualified Termination, to the extent such performance can be reasonably established, or otherwise based on an assumed achievement of all relevant performance goals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target, prorated to the nearest half-month to reflect the portion of the performance period that had elapsed prior to the CIC Qualified Termination;</w:t>
      </w:r>
    </w:p>
    <w:p>
      <w:pPr>
        <w:spacing w:after="0" w:line="126" w:lineRule="exact"/>
        <w:rPr>
          <w:sz w:val="20"/>
          <w:szCs w:val="20"/>
          <w:color w:val="auto"/>
        </w:rPr>
      </w:pPr>
    </w:p>
    <w:p>
      <w:pPr>
        <w:jc w:val="both"/>
        <w:ind w:left="660" w:right="20" w:hanging="328"/>
        <w:spacing w:after="0" w:line="266"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Payment related to health and life insurance benefits</w:t>
      </w:r>
      <w:r>
        <w:rPr>
          <w:rFonts w:ascii="Arial" w:cs="Arial" w:eastAsia="Arial" w:hAnsi="Arial"/>
          <w:sz w:val="18"/>
          <w:szCs w:val="18"/>
          <w:color w:val="auto"/>
        </w:rPr>
        <w:t>: a lump sum cash payment equal to the monthly cost of the employer-paid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cost to provide the group medical, dental, vision, and/or prescription drug plan benefits that the participant had been receiving before the CIC Qualified Termination, multiplied by 18; and</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Retirement plan provisions</w:t>
      </w:r>
      <w:r>
        <w:rPr>
          <w:rFonts w:ascii="Arial" w:cs="Arial" w:eastAsia="Arial" w:hAnsi="Arial"/>
          <w:sz w:val="18"/>
          <w:szCs w:val="18"/>
          <w:color w:val="auto"/>
        </w:rPr>
        <w:t>: accelerated vesting in full of any funded or unfunded nonqualified pension, retirement 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in which he or she participates.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Transition Retention Bonus Awards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Messrs. Mitchell and Stolove are eligible receive cash-based retention awards payable in 2021 in the amounts of $250,000 and $150,000, respectively. These awards were granted in 2020 and will vest and become payable on October 1, 2021, subject to the named executive officer’s continued employment through such date. The cash-based retention awards will also become payable upon the named executive officer’s termination prior to the vesting date pursuant to a layoff or the named executive officer’s death or disability. For the purpose of these cash-based retention awards, a “layoff” means, in summary, a reduction in the named executive officer’s base salary by more than 20%; a relocation of the named executive officer’s principle work location by more than 50 miles; or a job loss due to a layoff as defined in the Company’s general layoff payment plan. “Layoff” does not mean a change or reduction in the named executive officer’s duties or responsibilities or a termination by the Company for cause.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directors did not receive any compensation for their service on our board of directors during 2020. As such, no information relating to our 2020 director compensation has been included in this prospectus.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connection with the completion of this offering, we expect to implement a director compensation program for our “non-management directors” (directors who are not executive officers of GMHI or its affiliates)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Cash</w:t>
            </w: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Deferred Stock Units</w:t>
            </w:r>
          </w:p>
        </w:tc>
        <w:tc>
          <w:tcPr>
            <w:tcW w:w="1560" w:type="dxa"/>
            <w:vAlign w:val="bottom"/>
          </w:tcPr>
          <w:p>
            <w:pPr>
              <w:ind w:left="620"/>
              <w:spacing w:after="0"/>
              <w:rPr>
                <w:sz w:val="20"/>
                <w:szCs w:val="20"/>
                <w:color w:val="auto"/>
              </w:rPr>
            </w:pPr>
            <w:r>
              <w:rPr>
                <w:rFonts w:ascii="Arial" w:cs="Arial" w:eastAsia="Arial" w:hAnsi="Arial"/>
                <w:sz w:val="14"/>
                <w:szCs w:val="14"/>
                <w:b w:val="1"/>
                <w:bCs w:val="1"/>
                <w:color w:val="auto"/>
              </w:rPr>
              <w:t>Total</w:t>
            </w:r>
          </w:p>
        </w:tc>
      </w:tr>
      <w:tr>
        <w:trPr>
          <w:trHeight w:val="175"/>
        </w:trPr>
        <w:tc>
          <w:tcPr>
            <w:tcW w:w="64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Retainer for Board Service</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Annual Retainer for Non-Executive Chairperson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Retainer for a Lead Director</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Annual Retainer for Committee Chairs: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Audit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Compensation Committee</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Committees</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143" w:lineRule="exact"/>
        <w:rPr>
          <w:sz w:val="20"/>
          <w:szCs w:val="20"/>
          <w:color w:val="auto"/>
        </w:rPr>
      </w:pPr>
    </w:p>
    <w:p>
      <w:pPr>
        <w:jc w:val="both"/>
        <w:ind w:left="660" w:hanging="328"/>
        <w:spacing w:after="0" w:line="261"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Board Service. </w:t>
      </w:r>
      <w:r>
        <w:rPr>
          <w:rFonts w:ascii="Arial" w:cs="Arial" w:eastAsia="Arial" w:hAnsi="Arial"/>
          <w:sz w:val="18"/>
          <w:szCs w:val="18"/>
          <w:color w:val="auto"/>
        </w:rPr>
        <w:t>Each non-management director will be paid an annual retainer of $[●] in quarterly installments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arrears. Of this amount, $[●] will be paid in cash and $[●] will be paid in the form of deferred stock units (“DSUs”) to be granted under our 2021 Omnibus Incentive Plan, as described below. Instead of receiving a cash payment, non-management directors may elect to have 100% of their annual retainer paid in the form of DSUs.</w:t>
      </w:r>
    </w:p>
    <w:p>
      <w:pPr>
        <w:spacing w:after="0" w:line="125"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Non-Executive Chairperson. </w:t>
      </w:r>
      <w:r>
        <w:rPr>
          <w:rFonts w:ascii="Arial" w:cs="Arial" w:eastAsia="Arial" w:hAnsi="Arial"/>
          <w:sz w:val="18"/>
          <w:szCs w:val="18"/>
          <w:color w:val="auto"/>
        </w:rPr>
        <w:t>The Non-Executive Chairperson will receive a $[●] annual retainer in addition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regular annual retainer, paid in quarterly installments in arrears. Of this amount, $[●] will be paid in cash and $[●] will be paid in the form of DSUs.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Instead of receiving a cash payment, the Non-Executive Chairperson may elect to have 100% of the additional annual retainer paid in the form of DSUs.</w:t>
      </w:r>
    </w:p>
    <w:p>
      <w:pPr>
        <w:spacing w:after="0" w:line="126" w:lineRule="exact"/>
        <w:rPr>
          <w:sz w:val="20"/>
          <w:szCs w:val="20"/>
          <w:color w:val="auto"/>
        </w:rPr>
      </w:pPr>
    </w:p>
    <w:p>
      <w:pPr>
        <w:jc w:val="both"/>
        <w:ind w:left="660" w:hanging="328"/>
        <w:spacing w:after="0" w:line="26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a Lead Director. </w:t>
      </w:r>
      <w:r>
        <w:rPr>
          <w:rFonts w:ascii="Arial" w:cs="Arial" w:eastAsia="Arial" w:hAnsi="Arial"/>
          <w:sz w:val="18"/>
          <w:szCs w:val="18"/>
          <w:color w:val="auto"/>
        </w:rPr>
        <w:t>If a Lead Director is appointed in the absence of an independent Non-Executive Chairperson,</w:t>
      </w:r>
      <w:r>
        <w:rPr>
          <w:rFonts w:ascii="Arial" w:cs="Arial" w:eastAsia="Arial" w:hAnsi="Arial"/>
          <w:sz w:val="18"/>
          <w:szCs w:val="18"/>
          <w:i w:val="1"/>
          <w:iCs w:val="1"/>
          <w:color w:val="auto"/>
        </w:rPr>
        <w:t xml:space="preserve"> </w:t>
      </w:r>
      <w:r>
        <w:rPr>
          <w:rFonts w:ascii="Arial" w:cs="Arial" w:eastAsia="Arial" w:hAnsi="Arial"/>
          <w:sz w:val="18"/>
          <w:szCs w:val="18"/>
          <w:color w:val="auto"/>
        </w:rPr>
        <w:t>the Lead Director would receive an annual cash retainer of $[●] in addition to the regular annual retainer, paid quarterly installments in arrears.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Annual Retainer for Committee Chairs. </w:t>
      </w:r>
      <w:r>
        <w:rPr>
          <w:rFonts w:ascii="Arial" w:cs="Arial" w:eastAsia="Arial" w:hAnsi="Arial"/>
          <w:sz w:val="18"/>
          <w:szCs w:val="18"/>
          <w:color w:val="auto"/>
        </w:rPr>
        <w:t>As additional compensation for service as chairperson of a committee, each chairperson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additional annual cash retainer payable in quarterly installments in arrears as follows: Audit Committee chair, $[ ● ]; Compensation Committee chair, $[●]; and each other standing committee chair, $[●].</w:t>
      </w:r>
    </w:p>
    <w:p>
      <w:pPr>
        <w:spacing w:after="0" w:line="121"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Deferred Stock Units. </w:t>
      </w:r>
      <w:r>
        <w:rPr>
          <w:rFonts w:ascii="Arial" w:cs="Arial" w:eastAsia="Arial" w:hAnsi="Arial"/>
          <w:sz w:val="18"/>
          <w:szCs w:val="18"/>
          <w:color w:val="auto"/>
        </w:rPr>
        <w:t>The number of DSUs granted is determined by dividing the DSU value by the stock price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grant. Each DSU represents the right to receive one share of our common stock in the future, following termination of service as a director. The DSUs will be settled in shares of common stock on a one-for-one basis beginning one year after the director leaves the Board in a single installment or installments over ten years, at the election of the director. Additionally, grants of DSUs will be settled in shares of common stock immediately upon the death of the non-management director.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Genworth Mortgage Holdings, Inc. 2021 Omnibus Incentive Plan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the completion of the offering, we will adopt the Genworth Mortgage Holdings, Inc. 2021 Omnibus Incentive Plan (the “Plan”). The purposes of the Plan will be to provide additional incentives to selected employees, directors, independent contractors and consultants of the Company or its affiliates, to strengthen their commitment, motivate them to faithfully and diligently perform their responsibilities, and to attract and retain competent and dedicated persons who are essential to the success of our business and whose efforts will impact our long-term growth and profitability. To accomplish these purposes, the Plan will provide for the issuance of stock options, SARs, restricted stock, RSUs, PSUs, stock bonuses, other stock-based awards and cash awards.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we intend to issue stock-based awards in the future to employees and other eligible recipients as a recruiting and retention tool, we have not established specific parameters regarding future grants under the Plan. The plan administrator will determine the specific criteria surrounding equity issuances under the Plan. The following description summarizes the expected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5% of our voting securities and their affiliates and immediate family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Parent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an indirect wholly owned subsidiary of our Parent since 2004, during which time we have been part of our Parent’s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business operations. On , 2021, our Parent announced its plan to sell up to % of our common stock in this offering, subject to regulatory and GSE approval. Historically, our Parent and certain of our Parent’s other subsidiaries have provided a variety of services to us, and we have provided a variety of services to our Parent and certain of our Parent’s other subsidiaries and former subsidiaries. These arrangements are described below under “—Other Related Party Transactions.” Given that we entered into such agreements with our Parent and certain of our Parent’s other subsidiaries in the context of a parent-subsidiary relationship, certain terms are not necessarily the same as could have been obtained from a third party. See “Risk Factors—Risks Relating to Our Continuing Relationship with Our Parent.”</w:t>
      </w:r>
    </w:p>
    <w:p>
      <w:pPr>
        <w:spacing w:after="0" w:line="3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this offering, we expect that our Parent will continue to hold at least a 80% of our outstanding common stock for the foreseeable future, and as a result our Parent will continue to have significant influence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Confidential Information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Master Agreement, we and our Parent must, and must cause our respective affiliates to, maintain the confidentiality of the information of the other that it holds and must not disclose or use such information for any purpose other than to exercise its rights and to discharge its obligations under the Master Agreement and certain of the other transaction documents, unless required by any governmental authority or pursuant to applicable law and subject to other specified exceptions.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Releases and Indemnification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for each party’s obligations under the Master Agreement, the other transaction documents and certain other specified liabilities, we and our Parent have agreed to releases and indemnifications. The releases do not extend to obligations or liabilities under the Master Agreement and certain other transaction documents that remain in effect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Rights</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Parent will have the right (but not the obligation) to nominate the below number of persons to our board of directors which will initially consist of nine directors:</w:t>
      </w:r>
    </w:p>
    <w:p>
      <w:pPr>
        <w:spacing w:after="0" w:line="144"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five persons, so long as Parent owns 50%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four persons, so long as Parent owns less than 50% but 40%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three persons, so long as Parent owns less than 40% but 30%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two persons, so long as Parent owns less than 30% but 20% or more of our outstanding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one person, so long as Parent owns less than 20% but 10% or more of our outstanding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Master Agreement will also provide that:</w:t>
      </w:r>
    </w:p>
    <w:p>
      <w:pPr>
        <w:spacing w:after="0" w:line="171" w:lineRule="exact"/>
        <w:rPr>
          <w:sz w:val="20"/>
          <w:szCs w:val="20"/>
          <w:color w:val="auto"/>
        </w:r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so long as the Master Agreement shall remain in effect, in addition to the director nomination rights of our Parent described above, we and our Parent have agreed that our chief executive officer shall be a member of our board of directors;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of the consummation of this offering and until Parent ceases to own 20% or more of our outstanding common stock, except as required by applicable law or the listing standards of the stock exchange on which our common stock is listed, we may not, without the prior written consent of our Parent, take any action to increase the size of our board of directors;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that the size of our board of directors is increased, our Parent will have the right to nominate a proportional number of persons to our board of directors;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so long as our Parent beneficially owns 30% or more of our outstanding common stock, our Parent will also be entitled to designate one member to each board committee other than the independent capital committee and the audit committee.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Rights</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For so long as our Parent beneficially owns 50% or more of our outstanding common stock, we will be required to obtain the prior written consent of our Parent to take any of the following actions, whether directly or indirectly through a subsidiary, subject to limited exceptions: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 provided to our Parent for approval reasonably in advance of adoption consistent with the annual operating cycle for our Parent and its subsidiaries and shall include any proposed geographical or product expansion;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7"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our common stock or other equity securities;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merger, amalgamation, consolidation or similar transaction with a non-affiliate;</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acquire assets, securities or businesses involving consideration of $50 million or more (or book value of $100 million or more with respect to acquisitions effected through reinsurance transactions), other than transactions involving assets invested in our consolidated general account and approved in accordance with our established policies and procedures to monitor invested assets; and</w:t>
      </w:r>
    </w:p>
    <w:p>
      <w:pPr>
        <w:spacing w:after="0" w:line="14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so long as our Parent beneficially owns 33.33%, dispose of assets, securities or businesses involving consideration of $50 million or more (or book value of $100 million or more with respect to dispositions effected through reinsurance transactions), other than transactions involving assets invested in our consolidated general account and approved in accordance with our established policies and procedures to monitor invested assets.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consent rights with respect to such matters other than as described above.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also provides that, for so long as our Parent beneficially owns 15% or more of our outstanding common stock, we may not implement or adopt any stockholder rights plan without the prior written consent of our Parent, unless the plan includes an exception that would permit a purchase of all or part of our common stock beneficially owned by our Parent without causing the rights thereunder to separate from our common stock or become exercisable or otherwise triggering the plan.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Non-competition and Non-solicitation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two years after the date on which our Parent ceases to beneficially own, directly or indirectly, at least 50% of our outstanding common stock (the “Restricted Period”).</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Master Agreement provides that we and our subsidiaries will not, during the Restricted Period, directly or indirectly, engage in any line of business (other than the mortgage insurance business in the United States) in a jurisdiction where our Parent or any of its subsidiaries is licensed to conduct, or has local employees dedicated to, such line of business (each such business line so conducted by our Parent or an applicable subsidiary of our Parent is referred to as a “Genworth Financial Business Line”) at the time we wish to commence or engage in such line of business in such jurisdiction. The foregoing non-competition agreement is subject to a limited exception in the case of certain transactions by us and our subsidiaries that involve or would include the acquisition of a line of business that competes with a Genworth Financial Business Line (a “Genworth Financial-Competitive Business”), so long as (i) the Genworth Financial-Competitive Business comprises less than 15% of the total assets and revenues of the business to be acquired by us and (ii) our Parent is given a right of first refusal to acquire the Genworth Financial-Competitive Business on terms specified in the Master Agreement. If our Parent does not exercise its right of first refusal, then we will be permitted to complete the transaction, and thereafter to carry on the Genworth Financial-Competitive Business; provided, that we will be required to hold the Genworth Financial-Competitive Business separate from our other businesses until such time as it is sold and, among other requirements, we will be required to divest the Genworth Financial-Competitive Business within two years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provides that our Parent and its other subsidiaries (for so long as they are subsidiaries of our Parent) will not, during the Restricted Period, directly or indirectly, engage in the mortgage insurance business in the United States (referred to as a “Company Business Line”). The foregoing non-competition agreement is subject to the limited exception described in the immediately preceding paragraph as it relates to our Parent.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either party is acquired during the Restricted Period, it will continue to be subject to the non-competition restrictions described above. However, the purchaser will not be prohibited from carrying on a Genworth Financial-Competitive Business or a Company Business Line, as applicable; provided, that during the Restricted Period it does not do so through such party and that such party’s brand, personnel, confidential information and certain restricted intellectual property are not utilized by such purchaser in the conduct of the Genworth Financial-Competitive Business or a Company Business Line, as applicable, during the Restricted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Sharing</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Matters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Master Agreement provides that our Parent will compensate us for any reduction in the deferred tax attributes (or increase to deferred tax liabilities) of GMH, LLC and its subsidiaries (other than a reduction solely in the basis of stock of GMH, LLC) that may occur as a result of the application of the “unified loss rules” contained in Treas. Reg. Section 1.1502-36 to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or to effect shelf takedown offering.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will have piggyback registration rights, pursuant to which our Parent will be entitled to participate in certain registrations or offerings we may undertake, subject to “cutback” in certain cases.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Shared Services Agreements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or concurrent with the completion of this offering, we will enter into one or more shared services agreements with our Parent (the “Shared Services Agreements”) in order to (i) provide to one another (and to certain of our respective affiliates or subsidiaries) administrative and support services and other assistance and (ii) ensure certain services received prior to the completion of this offering will continue to be provided. The principal services that our Parent and certain of our Parent’s other subsidiaries will provide to us include: investment management, information technology services and certain administrative services (such as finance, human resources, employee benefit administration and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first 120 days of the term of the Shared Services Agreements as being provided to one another four months prior to the close of the transaction and that are necessary to operate the business as the business operated in the 12 months prior to the close of the transaction. Service charges will be set out in a schedule to the Shared Services Agreements and will generally be calculated in a manner consistent with past practice.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Shared Services Agreements require each party to perform services that meet a standard of care consistent with such party’s most recent past practices. Neither we nor our Parent or any of our respective affiliates or subsidiaries will be liable to each other in respect of the services either party provides, except in respect of a contractual claim for direct losses or where such liability arises from the provider party’s fraud, fraudulent misrepresentation, or willful misconduct, subject to certain specified exceptions and limitations.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Services will be provided under the Shared Services Agreements for a fixed initial term (the “Initial Term”), with an automatic renewal for one successive term. The Shared Services Agreements, as a whole or with respect to any service provided thereunder, may be terminated by either party at the end of the Initial Term, a renewal period or with written notice provided to the other party in accordance with the terms of the Shared Services Agreements.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 with the completion of this offering, we will enter into an Intellectual Property Cross License Agreement with our Parent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our Parent and certain of each of our affiliates or subsidiaries to: (i) enable employees, directors and officers to use and practice the licensed intellectual property rights for internal purposes, (ii) make, have made, use, sell, have sold, import and otherwise commercialize certain products and services and (iii) create certain improvements to such licensed intellectual property. Each party and its affiliates or subsidiaries will have limitations on their ability to grant sublicenses. With respect to any third-party intellectual property licensed under the IP Cross License Agreement, we and our Parent have granted each other sublicenses that are subject to the terms and conditions of existing agreements between us and any applicable third party and our Parent and any applicable third party, and such sublicenses will not include rights in excess of those under such agreements.</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of the IP Cross License Agreement is perpetual, but may be terminated upon mutual written agreement by the parties. In addition to the permitted assignments described in the Master Agreement, any party may assign the IP Cross License Agreement to any of its affiliates without any other party’s consent, but the assigning party will continue to be liable for the performance by the assignee.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Transitional Trademark License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or concurrent with the completion of this offering, we will enter into a Transitional Trademark License Agreement with our Parent and GMHI (the “Trademark Agreement”) pursuant to which our Parent and GMHI will grant us and our affiliates a limited non-exclusive, non-transferable, royalty-free license to use certain specified trademark applications and registrations, names and brands (including trademarks, logos and domain names) of our Parent and GMHI with limited rights to sublicense.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Trademark Agreement, unless terminated earlier, is effective until two years following the date on which our Parent ceases to own more than 50% of our outstanding common stock; provided, that, with the consent of GHI, we and our affiliates or subsidiaries, as applicable, may use certain licensed marks for a transition period of up to one year following such date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Trademark Agreement will automatically terminate with respect to us or our affiliates or subsidiaries, as applicable, upon notice by GHI,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Trademark Agreement will also automatically terminate, without notice by GHI, in the event that we or a permitted sublicensee makes a general assignment for the benefit of creditors, ceases operations or is liquidated or dissolved. The Trademark Agreement may also be terminated by GHI if there is a material breach by us or a permitted sublicense, as applicable, that is uncured.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one or more shared services agreements with our Parent as described under “—Shared Services Agreements” above.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and are party to a Tax Allocation Agreement between our Parent and certain of our Parent’s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 at such time.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Prior to the completion of this offering, our Parent (through GHI) is our only stockholder and owns all the shares of our common stock.</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GHI is selling shares of our common stock in this offering ( shares of common stock if the underwriters exercise in full their option to purchase additional shares). Following this offering, our Parent will own approximately % of our outstanding common stock (and approximately % of our common stock if the underwriters exercise in full their option to purchase additional shares) indirectly through GHI.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adjusted to reflect the sale of our common stock offered by the selling stockholder in this offering 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2021 and as</w:t>
      </w:r>
    </w:p>
    <w:p>
      <w:pPr>
        <w:spacing w:after="0" w:line="387" w:lineRule="exact"/>
        <w:rPr>
          <w:sz w:val="20"/>
          <w:szCs w:val="20"/>
          <w:color w:val="auto"/>
        </w:rPr>
      </w:pPr>
    </w:p>
    <w:p>
      <w:pPr>
        <w:sectPr>
          <w:pgSz w:w="11900" w:h="16838" w:orient="portrait"/>
          <w:cols w:equalWidth="0" w:num="2">
            <w:col w:w="9520" w:space="620"/>
            <w:col w:w="1100"/>
          </w:cols>
          <w:pgMar w:left="320" w:top="1440" w:right="339" w:bottom="1440" w:gutter="0" w:footer="0" w:header="0"/>
          <w:type w:val="continuous"/>
        </w:sect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acquire within 60 days of , 2021, through the exercise of any option, warrant or other right. In computing the percentage beneficial ownership of a person, common stock not outstanding and subject to options, warrants or other rights held by that person that are currently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exercisable or exercisable within 60 days of , 2021 are deemed outstanding for purposes of calculating the percentage ownership of that person, but are not deemed outstanding for computing the percentage ownership of any other person. Subject to the foregoing,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percentage of beneficial ownership is based on shares of common stock outstanding as of , 2021. Percentage of beneficial ownership after this offering (assuming no exercise of the underwriters’ option to purchase additional shares) also assumes the issuance and</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sale by us of</w:t>
      </w:r>
      <w:r>
        <w:rPr>
          <w:sz w:val="20"/>
          <w:szCs w:val="20"/>
          <w:color w:val="auto"/>
        </w:rPr>
        <w:tab/>
      </w:r>
      <w:r>
        <w:rPr>
          <w:rFonts w:ascii="Arial" w:cs="Arial" w:eastAsia="Arial" w:hAnsi="Arial"/>
          <w:sz w:val="17"/>
          <w:szCs w:val="17"/>
          <w:color w:val="auto"/>
        </w:rPr>
        <w:t>shares of common stock in this offering.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6620 West Broad Street, Richmond, Virginia.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 of</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80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 and After this</w:t>
            </w:r>
          </w:p>
        </w:tc>
        <w:tc>
          <w:tcPr>
            <w:tcW w:w="1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this Offering</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 directors as a group (  persons)</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Selling Stockholder and 5% Stockholder:</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Genworth Financial, Inc.</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type w:val="continuous"/>
        </w:sectPr>
      </w:pPr>
    </w:p>
    <w:bookmarkStart w:id="181" w:name="page182"/>
    <w:bookmarkEnd w:id="18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Prior to the completion of this offering, we will file our amended and restated certificate of incorporation with the Secretary of State of the State of Delaware and our board of directors will adopt our amended and restated bylaws. We will file the forms of our amended and restated certificate of incorporation and our amended and restated bylaws as exhibits to this registration statement. The provisions of our amended and restated certificate of incorporation and our amended and restated bylaws that will be in effect upon completion of this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will be filed as exhibits to this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common stock,</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par value per share, and shares of undesignated preferred stock, $ par value per share, the rights, preferences and privileges of which may be designated from time to time by our board of directors.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 2021, there were shares of our common stock outstanding, all held and beneficially owned by GHI (a wholly owned subsidiary of our Parent), and no shares of our common stock issuable upon exercise of outstanding stock options and restricted stock units.</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7"/>
          <w:szCs w:val="17"/>
          <w:color w:val="auto"/>
        </w:rPr>
        <w:t>, 2021, there were no outstanding shares of our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7"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and the preferential rights and the payment of liquidation preferences, if any, on any outstanding shares of our preferred stock. </w:t>
      </w:r>
      <w:r>
        <w:rPr>
          <w:rFonts w:ascii="Arial" w:cs="Arial" w:eastAsia="Arial" w:hAnsi="Arial"/>
          <w:sz w:val="18"/>
          <w:szCs w:val="18"/>
          <w:b w:val="1"/>
          <w:bCs w:val="1"/>
          <w:color w:val="auto"/>
        </w:rPr>
        <w:t>Preferred Stock</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Cumulative Voting</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after the filing of our amended and restated certificate of incorporation, our board of directors will have the authority,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without further action by the stockholders, to issue up to shares of undesignated preferred stock with rights and preferences, including voting rights, designated from time to time by our board of directors. The existence of authorized but unissued shares of our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enables our board of directors to render more difficult or to discourage an attempt to obtain control of us by means of a merger, tender offer, proxy contest or otherwise.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Forum</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(each, as in effect from time to time), or (iv) any action asserting a claim against us or any of our current or former directors, officers, stockholders, employees or agents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This exclusive forum provision does not preclude or contract the scope of exclusive federal or concurrent jurisdiction for any actions brought under the Securities Act. Our exclusive forum provision will not relieve us of our duties to comply with the federal securities laws and the rules and regulations thereunder, and our stockholders will not be deemed to have waived our compliance with these laws, rules and regulations. Although we believe these provisions benefit us by providing increased consistency for the specified types of actions and proceedings, the provisions may have the effect of discouraging lawsuits against us or our directors and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list our common stock on the Nasdaq under the symbol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sectPr>
          <w:pgSz w:w="11900" w:h="16838" w:orient="portrait"/>
          <w:cols w:equalWidth="0" w:num="2">
            <w:col w:w="6560" w:space="660"/>
            <w:col w:w="40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 Agent and Registrar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the transfer agent and registrar for our common stock will be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The transfer agent’s address</w:t>
      </w:r>
    </w:p>
    <w:p>
      <w:pPr>
        <w:spacing w:after="0" w:line="415" w:lineRule="exact"/>
        <w:rPr>
          <w:sz w:val="20"/>
          <w:szCs w:val="20"/>
          <w:color w:val="auto"/>
        </w:rPr>
      </w:pPr>
    </w:p>
    <w:p>
      <w:pPr>
        <w:sectPr>
          <w:pgSz w:w="11900" w:h="16838" w:orient="portrait"/>
          <w:cols w:equalWidth="0" w:num="3">
            <w:col w:w="140" w:space="200"/>
            <w:col w:w="7820" w:space="660"/>
            <w:col w:w="24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1440" w:right="339" w:bottom="1440" w:gutter="0" w:footer="0" w:header="0"/>
          <w:type w:val="continuous"/>
        </w:sectPr>
      </w:pPr>
    </w:p>
    <w:bookmarkStart w:id="184" w:name="page185"/>
    <w:bookmarkEnd w:id="18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93" w:lineRule="exact"/>
        <w:rPr>
          <w:sz w:val="20"/>
          <w:szCs w:val="20"/>
          <w:color w:val="auto"/>
        </w:rPr>
      </w:pPr>
    </w:p>
    <w:p>
      <w:pPr>
        <w:ind w:left="340"/>
        <w:spacing w:after="0"/>
        <w:tabs>
          <w:tab w:leader="none" w:pos="4500" w:val="left"/>
        </w:tabs>
        <w:rPr>
          <w:sz w:val="20"/>
          <w:szCs w:val="20"/>
          <w:color w:val="auto"/>
        </w:rPr>
      </w:pPr>
      <w:r>
        <w:rPr>
          <w:rFonts w:ascii="Arial" w:cs="Arial" w:eastAsia="Arial" w:hAnsi="Arial"/>
          <w:sz w:val="18"/>
          <w:szCs w:val="18"/>
          <w:color w:val="auto"/>
        </w:rPr>
        <w:t>Upon the closing of this offering, we will have</w:t>
      </w:r>
      <w:r>
        <w:rPr>
          <w:sz w:val="20"/>
          <w:szCs w:val="20"/>
          <w:color w:val="auto"/>
        </w:rPr>
        <w:tab/>
      </w:r>
      <w:r>
        <w:rPr>
          <w:rFonts w:ascii="Arial" w:cs="Arial" w:eastAsia="Arial" w:hAnsi="Arial"/>
          <w:sz w:val="17"/>
          <w:szCs w:val="17"/>
          <w:color w:val="auto"/>
        </w:rPr>
        <w:t>shares of common stock outstanding.</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 after this</w:t>
      </w:r>
    </w:p>
    <w:p>
      <w:pPr>
        <w:spacing w:after="0" w:line="387" w:lineRule="exact"/>
        <w:rPr>
          <w:sz w:val="20"/>
          <w:szCs w:val="20"/>
          <w:color w:val="auto"/>
        </w:rPr>
      </w:pPr>
    </w:p>
    <w:p>
      <w:pPr>
        <w:sectPr>
          <w:pgSz w:w="11900" w:h="16838" w:orient="portrait"/>
          <w:cols w:equalWidth="0" w:num="3">
            <w:col w:w="400" w:space="260"/>
            <w:col w:w="7600" w:space="660"/>
            <w:col w:w="2320"/>
          </w:cols>
          <w:pgMar w:left="320" w:top="1440" w:right="339" w:bottom="1440" w:gutter="0" w:footer="0" w:header="0"/>
          <w:type w:val="continuous"/>
        </w:sectPr>
      </w:pPr>
    </w:p>
    <w:p>
      <w:pPr>
        <w:ind w:left="660" w:hanging="328"/>
        <w:spacing w:after="0" w:line="261"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during the four calendar weeks preceding the date of filing of a Notice of Proposed Sale of Securities Pursuant to Rule 144 with respect to the sale.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type w:val="continuous"/>
        </w:sectPr>
      </w:pPr>
    </w:p>
    <w:bookmarkStart w:id="185" w:name="page186"/>
    <w:bookmarkEnd w:id="18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of Form S-8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issued and outstanding shares of our common stock, we intend to file a registration statement on Form S-8 to register</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aggregate of approximately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2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15 and August 15 of each year, commencing on February 15, 2021.</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option, at a redemption price equal to 100% of the principal amount thereof, plus a “make-whole” premium and accrued and unpaid interest, if any, to, but not including, the redemption date. At any time, on and after February 15, 2025, we may redeem the 2025 Senior Notes, in whole or in part,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Covenants. </w:t>
      </w:r>
      <w:r>
        <w:rPr>
          <w:rFonts w:ascii="Arial" w:cs="Arial" w:eastAsia="Arial" w:hAnsi="Arial"/>
          <w:sz w:val="18"/>
          <w:szCs w:val="18"/>
          <w:color w:val="auto"/>
        </w:rPr>
        <w:t>The Indenture governing the 2025 Senior Notes includes covenants that limit, among other things, our ability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ability to: (i) incur or guarantee additional indebtedness or issue preferred stock; (ii) declare or pay dividends or make other distributions to holders of capital stock; (iii) redeem, repurchase, retire or acquire for value our capital stock or subordinated indebtedness of us; (iv) make investments; (v) transfer or sell assets, including capital stock of certain of our subsidiaries; (vi) create liens; (vii) place restrictions on the ability of certain of our subsidiaries to pay dividends or make other payments to us or certain of our subsidiaries;</w:t>
      </w:r>
    </w:p>
    <w:p>
      <w:pPr>
        <w:spacing w:after="0" w:line="2" w:lineRule="exact"/>
        <w:rPr>
          <w:sz w:val="20"/>
          <w:szCs w:val="20"/>
          <w:color w:val="auto"/>
        </w:rPr>
      </w:pPr>
    </w:p>
    <w:p>
      <w:pPr>
        <w:jc w:val="both"/>
        <w:ind w:firstLine="8"/>
        <w:spacing w:after="0" w:line="254" w:lineRule="auto"/>
        <w:tabs>
          <w:tab w:leader="none" w:pos="3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Subject to certain exceptions, upon the occurrence of a change of control triggering event, we must offer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 2025 Senior Notes at 101% of their principal amount, plus accrued and unpaid interest, if any,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14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created or organized in the United States or under the laws of the United States, any state thereof or the District of Columbia;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 for U.S. federal income tax purposes.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5%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148" w:lineRule="exact"/>
        <w:rPr>
          <w:sz w:val="20"/>
          <w:szCs w:val="20"/>
          <w:color w:val="auto"/>
        </w:rPr>
      </w:pPr>
    </w:p>
    <w:p>
      <w:pPr>
        <w:jc w:val="both"/>
        <w:ind w:left="660" w:hanging="328"/>
        <w:spacing w:after="0" w:line="256"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above will be subject to a flat 30% tax (unless the non-U.S. holder is eligible for a lower rate under an applicable income tax treaty) on the gain from such sale or other disposition, which may be offset by U.S. source capital losses, if any, of the non-U.S. holder.</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 respect of common stock. Non-U.S. holders should consult their tax advisors regarding the possible implications of FATCA on their investment in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the selling stockholder and the underwriters named below have entered into an underwriting agreement with respect to the shares being offered. Subject to certain conditions, each underwriter has severally agreed to purchase from the selling stockholder the number of shares indicated in the following table. Goldman Sachs &amp; Co. LLC and J.P. Morgan Securities LLC are the representatives of the underwriters.</w:t>
      </w:r>
    </w:p>
    <w:p>
      <w:pPr>
        <w:spacing w:after="0" w:line="178"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1309370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1635125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underwriters have an option to buy up to an additional shares from the selling stockholder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the selling stockholder. Such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gridSpan w:val="3"/>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916"/>
              <w:spacing w:after="0"/>
              <w:rPr>
                <w:sz w:val="20"/>
                <w:szCs w:val="20"/>
                <w:color w:val="auto"/>
              </w:rPr>
            </w:pPr>
            <w:r>
              <w:rPr>
                <w:rFonts w:ascii="Arial" w:cs="Arial" w:eastAsia="Arial" w:hAnsi="Arial"/>
                <w:sz w:val="18"/>
                <w:szCs w:val="18"/>
                <w:color w:val="auto"/>
              </w:rPr>
              <w:t>additional shares.</w:t>
            </w:r>
          </w:p>
        </w:tc>
      </w:tr>
      <w:tr>
        <w:trPr>
          <w:trHeight w:val="37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Selling Stockholder</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written consent of Goldman Sachs &amp; Co. LLC and J.P. Morgan Securities LLC. This agreement does not apply to any existing employee benefit plans. See “Shares Eligible for Future Sale” for a discussion of certain transfer restrictions.</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this offering, there has been no public market for the shares. The initial public offering price has been negotiated among the Company, our Parent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 application has been made to list the common stock on Nasdaq under the symbol “ .” In order to meet one of the requirements for listing the common stock on Nasdaq , the underwriters have undertaken to sell lots of 100 or more shares to a minimum of 400 beneficial holders.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w:t>
      </w:r>
    </w:p>
    <w:p>
      <w:pPr>
        <w:spacing w:after="0" w:line="2"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may end any of these activities at any time. These transactions may be effected on the</w:t>
      </w:r>
      <w:r>
        <w:rPr>
          <w:sz w:val="20"/>
          <w:szCs w:val="20"/>
          <w:color w:val="auto"/>
        </w:rPr>
        <w:tab/>
      </w:r>
      <w:r>
        <w:rPr>
          <w:rFonts w:ascii="Arial" w:cs="Arial" w:eastAsia="Arial" w:hAnsi="Arial"/>
          <w:sz w:val="17"/>
          <w:szCs w:val="17"/>
          <w:color w:val="auto"/>
        </w:rPr>
        <w:t>, in the over-the-counter market or otherwise.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estimates that its share of the total expenses of the offering, excluding the underwriting discount , will be approximately</w:t>
      </w:r>
    </w:p>
    <w:p>
      <w:pPr>
        <w:spacing w:after="0" w:line="9" w:lineRule="exact"/>
        <w:rPr>
          <w:sz w:val="20"/>
          <w:szCs w:val="20"/>
          <w:color w:val="auto"/>
        </w:rPr>
      </w:pPr>
    </w:p>
    <w:p>
      <w:pPr>
        <w:ind w:left="700" w:hanging="692"/>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The selling stockholder will reimburse the Company for its expenses related to the offering.</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Company and the selling stockholder have agreed to indemnify the several underwriters against certain liabilities, including liabilities under the Securities Act, or to contribute to payments the underwriters may be required to make in respect of those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Goldman Sachs &amp; Co. LLC and J.P. Morgan Securities were initial purchasers in the offering of the 2025 Senior Notes. [In addition, Goldman Sachs &amp; Co. LLC has acted as a financial adviser to our Parent in connection with the possible transaction with China Oceanwide.]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will be made pursuant to an exemption under the Prospectus Regulation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underwriters to publish a prospectus pursuant to Article 3 of the Prospectus Regulation or supplement a prospectus pursuant to Article 23 of the Prospectus Regulation, in each case, in relation to such offer. Neither the Company nor the underwriters have authorized, nor do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authorize, the making of any offer of shares in circumstances in which an obligation arises for the Company or the underwriters to publish a prospectus for such offer.</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relation to each Member State, no offer to the public of any shares which are the subject of the offering contemplated by this prospectus (“Securities”) may be made in that Member State, other than an offer to the public of any Securities in that Member State made at any time under the following exemptions under the Prospectus Regulation:</w:t>
      </w:r>
    </w:p>
    <w:p>
      <w:pPr>
        <w:spacing w:after="0" w:line="148" w:lineRule="exact"/>
        <w:rPr>
          <w:sz w:val="20"/>
          <w:szCs w:val="20"/>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provided that no such offer of Securities shall require the Company or any underwriter to publish a prospectus pursuant to Article 3 of the Prospectus Regulation or supplement a prospectus pursuant to Article 23 of the Prospectus Regulation .</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UK Prospectus Regulation (as defined below). This prospectus has been prepared on the basis that any offer of shares in the United Kingdom will be made pursuant to an exemption under the UK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Section 85 of the Financial Services and Markets Act 2000 (as amended, the “FSMA”) or supplement a prospectus pursuant to Article 23 of the UK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No Securities have been offered or will be offered pursuant to the offering to the public in the United Kingdom other than under the following exemptions under the UK Prospectus Regulation:</w:t>
      </w:r>
    </w:p>
    <w:p>
      <w:pPr>
        <w:spacing w:after="0" w:line="144" w:lineRule="exact"/>
        <w:rPr>
          <w:sz w:val="20"/>
          <w:szCs w:val="20"/>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in the United Kingdom by virtue of the European Union (Withdrawal) Act 2018, as amended by the European Union (Withdrawal Agreement) Act 2020.</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The shares will only be available to, and any initiation, offer or agreement to subscribe, purchase or otherwise acquire such shares will be engaged in only with, relevant persons. Other persons should not act or rely on this prospectus or any of its contents. This prospectus is being supplied to you solely for your information and may not be reproduced, redistributed or passed on to any other person or published, in whole or in part, for any other purpose.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ESMA) in connection with the issue or sale of the Securities may only be communicated or caused to be communicated in circumstances in which Section 21(1) of the ESMA does not apply to the Company.</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All applicable provisions of the ESMA must be complied with in respect to anything done by any person in relation to the Securities in, from or otherwise involving the United Kingdom.</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represents and agrees that: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only to persons outside Hong Kong or only to “professional investors” in Hong Kong as defined in the Securities and Futures Ordinance and any rules made thereunder.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2" w:lineRule="exact"/>
        <w:rPr>
          <w:sz w:val="20"/>
          <w:szCs w:val="20"/>
          <w:color w:val="auto"/>
        </w:rPr>
      </w:pPr>
    </w:p>
    <w:p>
      <w:pPr>
        <w:jc w:val="both"/>
        <w:ind w:firstLine="8"/>
        <w:spacing w:after="0" w:line="253" w:lineRule="auto"/>
        <w:tabs>
          <w:tab w:leader="none" w:pos="2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w:t>
      </w:r>
      <w:r>
        <w:rPr>
          <w:rFonts w:ascii="Arial" w:cs="Arial" w:eastAsia="Arial" w:hAnsi="Arial"/>
          <w:sz w:val="18"/>
          <w:szCs w:val="18"/>
          <w:i w:val="1"/>
          <w:iCs w:val="1"/>
          <w:color w:val="auto"/>
        </w:rPr>
        <w:t xml:space="preserve"> </w:t>
      </w:r>
      <w:r>
        <w:rPr>
          <w:rFonts w:ascii="Arial" w:cs="Arial" w:eastAsia="Arial" w:hAnsi="Arial"/>
          <w:sz w:val="18"/>
          <w:szCs w:val="18"/>
          <w:color w:val="auto"/>
        </w:rPr>
        <w:t>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Sale of Investment Products and MAS Notice FAA-N16: Notice on Recommendations on Investment Products).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139"/>
          </w:cols>
          <w:pgMar w:left="320" w:top="1440" w:right="1440" w:bottom="1440" w:gutter="0" w:footer="0" w:header="0"/>
          <w:type w:val="continuous"/>
        </w:sectPr>
      </w:pPr>
    </w:p>
    <w:bookmarkStart w:id="198" w:name="page199"/>
    <w:bookmarkEnd w:id="19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Sidley Austin LLP. Certain legal matters will be passed upon for us by Evan Stolove, our Senior Vice President and General Counsel. Certain legal matters will be passed upon for the underwriters by Cleary Gottlieb Steen &amp; Hamilton LLP. Skadden, Arps, Slate, Meagher &amp; Flom LLP is acting as legal counsel to Genworth Financial,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consolidated financial statements of GMHI as of December 31, 2020 and 2019, and for the years ended December 31, 2020 and 2019, have been included in reliance on the report of KPMG LLP, independent registered public accounting firm, appearing elsewhere herein and upon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20" w:type="dxa"/>
            <w:vAlign w:val="bottom"/>
            <w:gridSpan w:val="8"/>
          </w:tcPr>
          <w:p>
            <w:pPr>
              <w:ind w:left="1240"/>
              <w:spacing w:after="0"/>
              <w:rPr>
                <w:sz w:val="20"/>
                <w:szCs w:val="20"/>
                <w:color w:val="auto"/>
              </w:rPr>
            </w:pPr>
            <w:r>
              <w:rPr>
                <w:rFonts w:ascii="Arial" w:cs="Arial" w:eastAsia="Arial" w:hAnsi="Arial"/>
                <w:sz w:val="18"/>
                <w:szCs w:val="18"/>
                <w:b w:val="1"/>
                <w:bCs w:val="1"/>
                <w:color w:val="auto"/>
              </w:rPr>
              <w:t>INDEX OF CONSOLIDATED FINANCIAL STATEMENTS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10480" w:type="dxa"/>
            <w:vAlign w:val="bottom"/>
            <w:gridSpan w:val="10"/>
          </w:tcPr>
          <w:p>
            <w:pPr>
              <w:spacing w:after="0"/>
              <w:rPr>
                <w:sz w:val="20"/>
                <w:szCs w:val="20"/>
                <w:color w:val="auto"/>
              </w:rPr>
            </w:pPr>
            <w:r>
              <w:rPr>
                <w:rFonts w:ascii="Arial" w:cs="Arial" w:eastAsia="Arial" w:hAnsi="Arial"/>
                <w:sz w:val="18"/>
                <w:szCs w:val="18"/>
                <w:b w:val="1"/>
                <w:bCs w:val="1"/>
                <w:color w:val="auto"/>
              </w:rPr>
              <w:t>Audited Financial Statements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480" w:type="dxa"/>
            <w:vAlign w:val="bottom"/>
            <w:gridSpan w:val="10"/>
          </w:tcPr>
          <w:p>
            <w:pPr>
              <w:spacing w:after="0" w:line="189" w:lineRule="exact"/>
              <w:rPr>
                <w:rFonts w:ascii="Arial" w:cs="Arial" w:eastAsia="Arial" w:hAnsi="Arial"/>
                <w:sz w:val="18"/>
                <w:szCs w:val="18"/>
                <w:color w:val="0000FF"/>
              </w:rPr>
            </w:pPr>
            <w:hyperlink w:anchor="page200">
              <w:r>
                <w:rPr>
                  <w:rFonts w:ascii="Arial" w:cs="Arial" w:eastAsia="Arial" w:hAnsi="Arial"/>
                  <w:sz w:val="18"/>
                  <w:szCs w:val="18"/>
                  <w:color w:val="0000FF"/>
                </w:rPr>
                <w:t>Report of Independent Registered Public Accounting Firm</w:t>
              </w:r>
            </w:hyperlink>
          </w:p>
        </w:tc>
        <w:tc>
          <w:tcPr>
            <w:tcW w:w="320" w:type="dxa"/>
            <w:vAlign w:val="bottom"/>
            <w:gridSpan w:val="2"/>
          </w:tcPr>
          <w:p>
            <w:pPr>
              <w:jc w:val="center"/>
              <w:ind w:right="60"/>
              <w:spacing w:after="0" w:line="189" w:lineRule="exact"/>
              <w:rPr>
                <w:rFonts w:ascii="Arial" w:cs="Arial" w:eastAsia="Arial" w:hAnsi="Arial"/>
                <w:sz w:val="18"/>
                <w:szCs w:val="18"/>
                <w:color w:val="0000FF"/>
                <w:w w:val="96"/>
              </w:rPr>
            </w:pPr>
            <w:hyperlink w:anchor="page200">
              <w:r>
                <w:rPr>
                  <w:rFonts w:ascii="Arial" w:cs="Arial" w:eastAsia="Arial" w:hAnsi="Arial"/>
                  <w:sz w:val="18"/>
                  <w:szCs w:val="18"/>
                  <w:color w:val="0000FF"/>
                  <w:w w:val="96"/>
                </w:rPr>
                <w:t>F-2</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240" w:type="dxa"/>
            <w:vAlign w:val="bottom"/>
            <w:gridSpan w:val="5"/>
          </w:tcPr>
          <w:p>
            <w:pPr>
              <w:spacing w:after="0"/>
              <w:rPr>
                <w:rFonts w:ascii="Arial" w:cs="Arial" w:eastAsia="Arial" w:hAnsi="Arial"/>
                <w:sz w:val="18"/>
                <w:szCs w:val="18"/>
                <w:color w:val="0000FF"/>
                <w:w w:val="99"/>
              </w:rPr>
            </w:pPr>
            <w:hyperlink w:anchor="page201">
              <w:r>
                <w:rPr>
                  <w:rFonts w:ascii="Arial" w:cs="Arial" w:eastAsia="Arial" w:hAnsi="Arial"/>
                  <w:sz w:val="18"/>
                  <w:szCs w:val="18"/>
                  <w:color w:val="0000FF"/>
                  <w:w w:val="99"/>
                </w:rPr>
                <w:t>Consolidated Balance Sheets as of December 31, 2020 and 2019</w:t>
              </w:r>
            </w:hyperlink>
          </w:p>
        </w:tc>
        <w:tc>
          <w:tcPr>
            <w:tcW w:w="5240" w:type="dxa"/>
            <w:vAlign w:val="bottom"/>
            <w:gridSpan w:val="5"/>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1">
              <w:r>
                <w:rPr>
                  <w:rFonts w:ascii="Arial" w:cs="Arial" w:eastAsia="Arial" w:hAnsi="Arial"/>
                  <w:sz w:val="18"/>
                  <w:szCs w:val="18"/>
                  <w:color w:val="0000FF"/>
                  <w:w w:val="96"/>
                </w:rPr>
                <w:t>F-3</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480" w:type="dxa"/>
            <w:vAlign w:val="bottom"/>
            <w:gridSpan w:val="10"/>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 xml:space="preserve">Consolidated Statements of Income for the years ended December 31, </w:t>
              </w:r>
            </w:hyperlink>
            <w:hyperlink w:anchor="page201">
              <w:r>
                <w:rPr>
                  <w:rFonts w:ascii="Arial" w:cs="Arial" w:eastAsia="Arial" w:hAnsi="Arial"/>
                  <w:sz w:val="18"/>
                  <w:szCs w:val="18"/>
                  <w:color w:val="0000FF"/>
                </w:rPr>
                <w:t>2020 and 2019</w:t>
              </w:r>
            </w:hyperlink>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2">
              <w:r>
                <w:rPr>
                  <w:rFonts w:ascii="Arial" w:cs="Arial" w:eastAsia="Arial" w:hAnsi="Arial"/>
                  <w:sz w:val="18"/>
                  <w:szCs w:val="18"/>
                  <w:color w:val="0000FF"/>
                  <w:w w:val="96"/>
                </w:rPr>
                <w:t>F-4</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200" w:type="dxa"/>
            <w:vAlign w:val="bottom"/>
            <w:gridSpan w:val="9"/>
          </w:tcPr>
          <w:p>
            <w:pPr>
              <w:spacing w:after="0"/>
              <w:rPr>
                <w:rFonts w:ascii="Arial" w:cs="Arial" w:eastAsia="Arial" w:hAnsi="Arial"/>
                <w:sz w:val="18"/>
                <w:szCs w:val="18"/>
                <w:color w:val="0000FF"/>
                <w:w w:val="99"/>
              </w:rPr>
            </w:pPr>
            <w:hyperlink w:anchor="page203">
              <w:r>
                <w:rPr>
                  <w:rFonts w:ascii="Arial" w:cs="Arial" w:eastAsia="Arial" w:hAnsi="Arial"/>
                  <w:sz w:val="18"/>
                  <w:szCs w:val="18"/>
                  <w:color w:val="0000FF"/>
                  <w:w w:val="99"/>
                </w:rPr>
                <w:t>Consolidated Statements of Comprehensive Income for the years ended December 31, 2020 and 2019</w:t>
              </w:r>
            </w:hyperlink>
          </w:p>
        </w:tc>
        <w:tc>
          <w:tcPr>
            <w:tcW w:w="2280" w:type="dxa"/>
            <w:vAlign w:val="bottom"/>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3">
              <w:r>
                <w:rPr>
                  <w:rFonts w:ascii="Arial" w:cs="Arial" w:eastAsia="Arial" w:hAnsi="Arial"/>
                  <w:sz w:val="18"/>
                  <w:szCs w:val="18"/>
                  <w:color w:val="0000FF"/>
                  <w:w w:val="96"/>
                </w:rPr>
                <w:t>F-5</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760" w:type="dxa"/>
            <w:vAlign w:val="bottom"/>
            <w:gridSpan w:val="8"/>
          </w:tcPr>
          <w:p>
            <w:pPr>
              <w:spacing w:after="0"/>
              <w:rPr>
                <w:rFonts w:ascii="Arial" w:cs="Arial" w:eastAsia="Arial" w:hAnsi="Arial"/>
                <w:sz w:val="18"/>
                <w:szCs w:val="18"/>
                <w:color w:val="0000FF"/>
                <w:w w:val="99"/>
              </w:rPr>
            </w:pPr>
            <w:hyperlink w:anchor="page204">
              <w:r>
                <w:rPr>
                  <w:rFonts w:ascii="Arial" w:cs="Arial" w:eastAsia="Arial" w:hAnsi="Arial"/>
                  <w:sz w:val="18"/>
                  <w:szCs w:val="18"/>
                  <w:color w:val="0000FF"/>
                  <w:w w:val="99"/>
                </w:rPr>
                <w:t>Consolidated Statements of Changes in Equity for the years ended December 31, 2020 and 2019</w:t>
              </w:r>
            </w:hyperlink>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4">
              <w:r>
                <w:rPr>
                  <w:rFonts w:ascii="Arial" w:cs="Arial" w:eastAsia="Arial" w:hAnsi="Arial"/>
                  <w:sz w:val="18"/>
                  <w:szCs w:val="18"/>
                  <w:color w:val="0000FF"/>
                  <w:w w:val="96"/>
                </w:rPr>
                <w:t>F-6</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240" w:type="dxa"/>
            <w:vAlign w:val="bottom"/>
            <w:gridSpan w:val="7"/>
          </w:tcPr>
          <w:p>
            <w:pPr>
              <w:spacing w:after="0"/>
              <w:rPr>
                <w:rFonts w:ascii="Arial" w:cs="Arial" w:eastAsia="Arial" w:hAnsi="Arial"/>
                <w:sz w:val="18"/>
                <w:szCs w:val="18"/>
                <w:color w:val="0000FF"/>
                <w:w w:val="99"/>
              </w:rPr>
            </w:pPr>
            <w:hyperlink w:anchor="page205">
              <w:r>
                <w:rPr>
                  <w:rFonts w:ascii="Arial" w:cs="Arial" w:eastAsia="Arial" w:hAnsi="Arial"/>
                  <w:sz w:val="18"/>
                  <w:szCs w:val="18"/>
                  <w:color w:val="0000FF"/>
                  <w:w w:val="99"/>
                </w:rPr>
                <w:t>Consolidated Statements of Cash Flows for the years ended December 31, 2020 and 2019</w:t>
              </w:r>
            </w:hyperlink>
          </w:p>
        </w:tc>
        <w:tc>
          <w:tcPr>
            <w:tcW w:w="5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5">
              <w:r>
                <w:rPr>
                  <w:rFonts w:ascii="Arial" w:cs="Arial" w:eastAsia="Arial" w:hAnsi="Arial"/>
                  <w:sz w:val="18"/>
                  <w:szCs w:val="18"/>
                  <w:color w:val="0000FF"/>
                  <w:w w:val="96"/>
                </w:rPr>
                <w:t>F-7</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240" w:type="dxa"/>
            <w:vAlign w:val="bottom"/>
            <w:gridSpan w:val="7"/>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Notes to the Consolidated Financial Statements</w:t>
              </w:r>
            </w:hyperlink>
          </w:p>
        </w:tc>
        <w:tc>
          <w:tcPr>
            <w:tcW w:w="3240" w:type="dxa"/>
            <w:vAlign w:val="bottom"/>
            <w:gridSpan w:val="3"/>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6">
              <w:r>
                <w:rPr>
                  <w:rFonts w:ascii="Arial" w:cs="Arial" w:eastAsia="Arial" w:hAnsi="Arial"/>
                  <w:sz w:val="18"/>
                  <w:szCs w:val="18"/>
                  <w:color w:val="0000FF"/>
                  <w:w w:val="96"/>
                </w:rPr>
                <w:t>F-8</w:t>
              </w:r>
            </w:hyperlink>
          </w:p>
        </w:tc>
      </w:tr>
      <w:tr>
        <w:trPr>
          <w:trHeight w:val="250"/>
        </w:trPr>
        <w:tc>
          <w:tcPr>
            <w:tcW w:w="380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Supplemental Schedules:</w:t>
            </w:r>
          </w:p>
        </w:tc>
        <w:tc>
          <w:tcPr>
            <w:tcW w:w="6680" w:type="dxa"/>
            <w:vAlign w:val="bottom"/>
            <w:gridSpan w:val="7"/>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r>
      <w:tr>
        <w:trPr>
          <w:trHeight w:val="189"/>
        </w:trPr>
        <w:tc>
          <w:tcPr>
            <w:tcW w:w="10480" w:type="dxa"/>
            <w:vAlign w:val="bottom"/>
            <w:gridSpan w:val="10"/>
          </w:tcPr>
          <w:p>
            <w:pPr>
              <w:spacing w:after="0" w:line="189" w:lineRule="exact"/>
              <w:rPr>
                <w:rFonts w:ascii="Arial" w:cs="Arial" w:eastAsia="Arial" w:hAnsi="Arial"/>
                <w:sz w:val="18"/>
                <w:szCs w:val="18"/>
                <w:color w:val="0000FF"/>
              </w:rPr>
            </w:pPr>
            <w:hyperlink w:anchor="page245">
              <w:r>
                <w:rPr>
                  <w:rFonts w:ascii="Arial" w:cs="Arial" w:eastAsia="Arial" w:hAnsi="Arial"/>
                  <w:sz w:val="18"/>
                  <w:szCs w:val="18"/>
                  <w:color w:val="0000FF"/>
                </w:rPr>
                <w:t>Supplemental Schedule I</w:t>
              </w:r>
            </w:hyperlink>
          </w:p>
        </w:tc>
        <w:tc>
          <w:tcPr>
            <w:tcW w:w="320" w:type="dxa"/>
            <w:vAlign w:val="bottom"/>
            <w:gridSpan w:val="2"/>
          </w:tcPr>
          <w:p>
            <w:pPr>
              <w:jc w:val="center"/>
              <w:spacing w:after="0" w:line="189" w:lineRule="exact"/>
              <w:rPr>
                <w:rFonts w:ascii="Arial" w:cs="Arial" w:eastAsia="Arial" w:hAnsi="Arial"/>
                <w:sz w:val="18"/>
                <w:szCs w:val="18"/>
                <w:color w:val="0000FF"/>
                <w:w w:val="86"/>
              </w:rPr>
            </w:pPr>
            <w:hyperlink w:anchor="page245">
              <w:r>
                <w:rPr>
                  <w:rFonts w:ascii="Arial" w:cs="Arial" w:eastAsia="Arial" w:hAnsi="Arial"/>
                  <w:sz w:val="18"/>
                  <w:szCs w:val="18"/>
                  <w:color w:val="0000FF"/>
                  <w:w w:val="86"/>
                </w:rPr>
                <w:t>F-47</w:t>
              </w:r>
            </w:hyperlink>
          </w:p>
        </w:tc>
      </w:tr>
      <w:tr>
        <w:trPr>
          <w:trHeight w:val="20"/>
        </w:trPr>
        <w:tc>
          <w:tcPr>
            <w:tcW w:w="2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209"/>
        </w:trPr>
        <w:tc>
          <w:tcPr>
            <w:tcW w:w="2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246">
              <w:r>
                <w:rPr>
                  <w:rFonts w:ascii="Arial" w:cs="Arial" w:eastAsia="Arial" w:hAnsi="Arial"/>
                  <w:sz w:val="18"/>
                  <w:szCs w:val="18"/>
                  <w:color w:val="0000FF"/>
                  <w:w w:val="99"/>
                </w:rPr>
                <w:t>Supplemental Schedule II</w:t>
              </w:r>
            </w:hyperlink>
          </w:p>
        </w:tc>
        <w:tc>
          <w:tcPr>
            <w:tcW w:w="8420" w:type="dxa"/>
            <w:vAlign w:val="bottom"/>
            <w:gridSpan w:val="8"/>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46">
              <w:r>
                <w:rPr>
                  <w:rFonts w:ascii="Arial" w:cs="Arial" w:eastAsia="Arial" w:hAnsi="Arial"/>
                  <w:sz w:val="18"/>
                  <w:szCs w:val="18"/>
                  <w:color w:val="0000FF"/>
                  <w:w w:val="86"/>
                </w:rPr>
                <w:t>F-48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800"/>
          </w:cols>
          <w:pgMar w:left="340" w:top="1440" w:right="759" w:bottom="1440" w:gutter="0" w:footer="0" w:header="0"/>
        </w:sectPr>
      </w:pPr>
    </w:p>
    <w:bookmarkStart w:id="200" w:name="page201"/>
    <w:bookmarkEnd w:id="200"/>
    <w:p>
      <w:pPr>
        <w:spacing w:after="0" w:line="13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Genworth Mortgage Holdings,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Genworth Mortgage Holdings, Inc. and subsidiaries (the Company) as of December 31, 2020 and 2019, the related consolidated statements of income, comprehensive income, changes in equity, and cash flows for each of the years in the two-year period ended December 31, 2020 and the related notes and financial statement schedules I to 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two-year period ended December 31, 2020, in conformity with U.S. generally accepted accounting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par value and per share amounts)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 at fair value (amortized cost $4,781,916 and $3,643,347)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3,764,432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Premiums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Loss reserves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555,679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1,770,899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675,849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5,652,710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outstanding share amounts)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971,365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856,976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1,106,459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379,834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49,850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15,065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634,041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260,683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472,418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718,170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562,338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115,290</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485,368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3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Other comprehensive income, net of taxes</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Dividends to Genworth</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Arial" w:cs="Arial" w:eastAsia="Arial" w:hAnsi="Arial"/>
                <w:sz w:val="18"/>
                <w:szCs w:val="18"/>
                <w:color w:val="auto"/>
              </w:rPr>
              <w:t>Other comprehensive income, net of taxes</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Dividends to Genworth</w:t>
            </w:r>
          </w:p>
        </w:tc>
        <w:tc>
          <w:tcPr>
            <w:tcW w:w="2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374"/>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1"/>
                <w:szCs w:val="11"/>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160" w:type="dxa"/>
            <w:vAlign w:val="bottom"/>
          </w:tcPr>
          <w:p>
            <w:pPr>
              <w:jc w:val="center"/>
              <w:ind w:right="394"/>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37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5"/>
                <w:szCs w:val="15"/>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2,357,851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942,410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45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3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5,755</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3"/>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2,363,606</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1,370,038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453"/>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370,421</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29"/>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(437,353)</w:t>
            </w:r>
          </w:p>
        </w:tc>
        <w:tc>
          <w:tcPr>
            <w:tcW w:w="0" w:type="dxa"/>
            <w:vAlign w:val="bottom"/>
          </w:tcPr>
          <w:p>
            <w:pPr>
              <w:spacing w:after="0"/>
              <w:rPr>
                <w:sz w:val="1"/>
                <w:szCs w:val="1"/>
                <w:color w:val="auto"/>
              </w:rPr>
            </w:pPr>
          </w:p>
        </w:tc>
      </w:tr>
      <w:tr>
        <w:trPr>
          <w:trHeight w:val="230"/>
        </w:trPr>
        <w:tc>
          <w:tcPr>
            <w:tcW w:w="1160" w:type="dxa"/>
            <w:vAlign w:val="bottom"/>
          </w:tcPr>
          <w:p>
            <w:pPr>
              <w:jc w:val="right"/>
              <w:ind w:right="94"/>
              <w:spacing w:after="0"/>
              <w:rPr>
                <w:sz w:val="20"/>
                <w:szCs w:val="20"/>
                <w:color w:val="auto"/>
              </w:rPr>
            </w:pPr>
            <w:r>
              <w:rPr>
                <w:rFonts w:ascii="Arial" w:cs="Arial" w:eastAsia="Arial" w:hAnsi="Arial"/>
                <w:sz w:val="18"/>
                <w:szCs w:val="18"/>
                <w:color w:val="auto"/>
              </w:rPr>
              <w:t>6,721</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3"/>
        </w:trPr>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2,370,327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1,303,106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-1662430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-1370965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-770890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-479425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-187960</wp:posOffset>
            </wp:positionV>
            <wp:extent cx="71323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-1079500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-1962785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560"/>
          </w:cols>
          <w:pgMar w:left="340" w:top="1440" w:right="339" w:bottom="1440" w:gutter="0" w:footer="0" w:header="0"/>
          <w:type w:val="continuous"/>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40" w:top="1440" w:right="339" w:bottom="1440" w:gutter="0" w:footer="0" w:header="0"/>
          <w:type w:val="continuous"/>
        </w:sectPr>
      </w:pPr>
    </w:p>
    <w:bookmarkStart w:id="205" w:name="page206"/>
    <w:bookmarkEnd w:id="20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370,421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677,628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Net (gains) losses on investments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fixed maturity securities discounts and premiums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Amortization of deferred acquisition costs and intangibles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costs deferred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56,731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investment in unconsolidated affiliate, excluding cash dividend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(85,491)</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Change in certain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Accrued investment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(31,599)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(62,817)</w:t>
            </w:r>
          </w:p>
        </w:tc>
        <w:tc>
          <w:tcPr>
            <w:tcW w:w="0" w:type="dxa"/>
            <w:vAlign w:val="bottom"/>
          </w:tcPr>
          <w:p>
            <w:pPr>
              <w:spacing w:after="0"/>
              <w:rPr>
                <w:sz w:val="1"/>
                <w:szCs w:val="1"/>
                <w:color w:val="auto"/>
              </w:rPr>
            </w:pPr>
          </w:p>
        </w:tc>
      </w:tr>
      <w:tr>
        <w:trPr>
          <w:trHeight w:val="213"/>
        </w:trPr>
        <w:tc>
          <w:tcPr>
            <w:tcW w:w="7980" w:type="dxa"/>
            <w:vAlign w:val="bottom"/>
          </w:tcPr>
          <w:p>
            <w:pPr>
              <w:ind w:left="240"/>
              <w:spacing w:after="0"/>
              <w:rPr>
                <w:sz w:val="20"/>
                <w:szCs w:val="20"/>
                <w:color w:val="auto"/>
              </w:rPr>
            </w:pPr>
            <w:r>
              <w:rPr>
                <w:rFonts w:ascii="Arial" w:cs="Arial" w:eastAsia="Arial" w:hAnsi="Arial"/>
                <w:sz w:val="16"/>
                <w:szCs w:val="16"/>
                <w:color w:val="auto"/>
              </w:rPr>
              <w:t>Unearned premiums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(38,330)</w:t>
            </w:r>
          </w:p>
        </w:tc>
        <w:tc>
          <w:tcPr>
            <w:tcW w:w="0" w:type="dxa"/>
            <w:vAlign w:val="bottom"/>
          </w:tcPr>
          <w:p>
            <w:pPr>
              <w:spacing w:after="0"/>
              <w:rPr>
                <w:sz w:val="1"/>
                <w:szCs w:val="1"/>
                <w:color w:val="auto"/>
              </w:rPr>
            </w:pPr>
          </w:p>
        </w:tc>
      </w:tr>
      <w:tr>
        <w:trPr>
          <w:trHeight w:val="246"/>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71,108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(20,065)</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704,350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500,020</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(1,942,464)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(951,281)</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fixed maturity securities available-for-sale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257,710</w:t>
            </w: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Maturities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527,070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359,311</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 in unconsolidated affiliate</w:t>
            </w: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510,247</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(1,136,912)</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175,987</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the issuance of long-term debt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737,651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Genworth</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(437,353)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300,298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(250,000)</w:t>
            </w:r>
          </w:p>
        </w:tc>
        <w:tc>
          <w:tcPr>
            <w:tcW w:w="0" w:type="dxa"/>
            <w:vAlign w:val="bottom"/>
          </w:tcPr>
          <w:p>
            <w:pPr>
              <w:spacing w:after="0"/>
              <w:rPr>
                <w:sz w:val="1"/>
                <w:szCs w:val="1"/>
                <w:color w:val="auto"/>
              </w:rPr>
            </w:pP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(132,264)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426,007</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585,058</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159,051</w:t>
            </w:r>
          </w:p>
        </w:tc>
        <w:tc>
          <w:tcPr>
            <w:tcW w:w="0" w:type="dxa"/>
            <w:vAlign w:val="bottom"/>
          </w:tcPr>
          <w:p>
            <w:pPr>
              <w:spacing w:after="0"/>
              <w:rPr>
                <w:sz w:val="1"/>
                <w:szCs w:val="1"/>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452,794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585,058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Supplementary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contributions of capital from Genworth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06" w:name="page207"/>
    <w:bookmarkEnd w:id="20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organization structure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Mortgage Holdings, Inc. (“GMHI,” together with its subsidiaries, the “Company,” “we,” “us,” or “our”) has been a wholly owned subsidiary of Genworth Financial, Inc. (“Genworth” or “Parent”) since GMHI’s incorporation in Delaware in 2012. On November 29, 2019, Genworth completed a holding company reorganization whereby Genworth contributed 100% of the issued and outstanding voting securities of the Company to Genworth Holdings, Inc. (“Genworth Holdings”). Post-contribution, we are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our financial performance and allocates resources. Our segment includes a run-off insurance block with reference properties in Mexico (“run-off business”), which is immaterial to our consolidated financial statements.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unless certain events occur that trigger mandatory prepayments, as well as a significant portion of future claims that are still being processed which will be part of the second installment payment in 2022. As of December 31, 2020, Genworth owed £425 million ($581 million) to AXA under the settlement agreement. Subsequent to the balance sheet date, on March 3, 2021, Genworth repaid the installment payment due to AXA in June 2022 and a portion of the installment payment due to AXA in September 2022 from cash proceeds received from the sale of Genworth’s Australian mortgage insurance business (the “March 2021 Mandatory Payment”). After applying the March 2021 Mandatory Payment, Genworth owes approximately £247 million ($338 million) to AXA, which is subject to increase. Under the terms of the secured promissory note, as amended, Genworth pledged as collateral to AXA a 19.9% security interest in our outstanding common stock. Unless an event of default has occurred under the Promissory Note, AXA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5" w:right="339" w:bottom="1440" w:gutter="0" w:footer="0" w:header="0"/>
        </w:sectPr>
      </w:pPr>
    </w:p>
    <w:bookmarkStart w:id="207" w:name="page208"/>
    <w:bookmarkEnd w:id="20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does not have the right to sell or repledge the collateral and the security interest does not entitle AXA to voting rights. The collateral will be released back to Genworth upon full repayment of the promissory note. Accordingly, the collateral arrangement has no impact on our consolidated financial statements.</w:t>
      </w:r>
    </w:p>
    <w:p>
      <w:pPr>
        <w:spacing w:after="0" w:line="126"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currently qualify as an “emerging growth company” (“EGC”) because, at the time of initial confidential submission of our registration statement, our gross revenue for the then most recently ended fiscal year (the year ended December 31, 2019) was less than $1.07 billion. Because our gross revenue for the fiscal year ended December 31, 2020, exceeded $1.07 billion, we will cease to qualify as an EGC upon consummation of our initial public offering (“IPO”). As a result, we qualify as an EGC and will continue as such until the earlier of the date on which we consummate our IPO or the end of the one-year period beginning on the date we cease to be an EGC under a registration statement as defined by the Securities and Exchange Commission. Because we currently qualify as an EGC, we are permitted to apply new accounting standards under an extended transition period available to private companies and take advantage of reduced reporting requirements in these financial statements. We have elected to apply the extended transition periods for new accounting standards applicable to private companies, and reduced reporting requirements, as further described below.</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consolidated financial statements have been prepared on the basis of United States generally accepted accounting principles (“U.S. GAAP”). Preparing financial statements in conformity with U.S. GAAP requires us to make estimates and assumptions that affect reported amounts and related disclosures. Actual results could differ from those estimates. Certain prior year amounts have been reclassified to conform to the current year presentation. Potential impacts, risks and uncertainties of the coronavirus pandemic (“COVID-19”) may include declines in investment valuations and impairments, deferred acquisition cost (“DAC”) or intangible assets impairments or the acceleration of amortization, deferred tax recoverability and increases to loss reserves, among other matters.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consolidated financial statements have been prepared on a standalone basis and were derived from the consolidated financial statements and accounting records of Genworth. The consolidated financial statements include the accounts of GMHI, its subsidiaries and those entities required to be consolidated under the applicable accounting standards. All intercompany transactions and balances have been eliminated.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us are not necessarily representative of the amounts that would have been incurred had we operated independently of Genworth. See Note 11 for further information regarding the allocation of Genworth expenses.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5" w:right="339" w:bottom="1440" w:gutter="0" w:footer="0" w:header="0"/>
        </w:sectPr>
      </w:pPr>
    </w:p>
    <w:bookmarkStart w:id="208" w:name="page209"/>
    <w:bookmarkEnd w:id="20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insured party if the delinquent loan goes to claim. We record a liability for premiums received on the delinquent loans consistent with our expectations of ultimate claim rates.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is managed by Genworth. We conduct the purchases, sales, and related investment management decisions with the advice of Genworth. As part of these services, we are charged an investment management fee, as agreed between both parties. These fees are charged to investment expense and are included in net investment income in the consolidated statements of income. Refer to Note 11 for further details.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Fixed maturity securities classified as available-for-sale are reported in our consolidated balance sheets at fair value. Our portfolio of fixed maturity securities comprises primarily investment grade securities. Changes in the fair value of available-for-sale fixed maturity securities, net of deferred income taxes, are reflected as unrealized investment gains or losses in a separate component of accumulated other comprehensive income (“OCI”).</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5" w:right="339" w:bottom="1440" w:gutter="0" w:footer="0" w:header="0"/>
        </w:sectPr>
      </w:pPr>
    </w:p>
    <w:bookmarkStart w:id="209" w:name="page210"/>
    <w:bookmarkEnd w:id="20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with certain internal assumptions and judgments regarding the future performance of the underlying collateral. Where possible, this data is benchmarked against third-party sources.</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recognize other-than-temporary impairments on debt securities in an unrealized loss position when one of the following circumstances exists:</w:t>
      </w:r>
    </w:p>
    <w:p>
      <w:pPr>
        <w:spacing w:after="0" w:line="144"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 portfolio to ensure that securities that may be other-than-temporarily impaired are identified in a timely manner and that any impairment charge is recognized in the proper period.</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 where we recognize an impairment charge in the period in which we determine that the security would not recover to book value within a reasonable period of time. We determine what constitutes a reasonable period on a security-by-security basis based upon consideration of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5" w:right="339" w:bottom="1440" w:gutter="0" w:footer="0" w:header="0"/>
        </w:sectPr>
      </w:pPr>
    </w:p>
    <w:bookmarkStart w:id="210" w:name="page211"/>
    <w:bookmarkEnd w:id="21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evidence available to us, including the magnitude of an unrealized loss and its duration. In any event, this period does not exceed 15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measure other-than-temporary impairments based upon the difference between the amortized cost of a security and its fair value.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Investments in which we are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previously had an investment in an unconsolidated affiliate for which the fair value option had been elected.</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each reporting period, all assets and liabilities recorded at fair value are classified in their entirety based on the lowest level of input that is significant to the fair value measurement.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5" w:right="339" w:bottom="1440" w:gutter="0" w:footer="0" w:header="0"/>
        </w:sectPr>
      </w:pPr>
    </w:p>
    <w:bookmarkStart w:id="211" w:name="page212"/>
    <w:bookmarkEnd w:id="21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Certificates of deposit, money market funds and other highly liquid investments with original maturities of three months or less are considered cash equivalents in the consolidated balance sheets and consolidated statements of cash flows. Items with maturities greater than three months but less than one year at the time of acquisition are generally considered short-term investments.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Judgment is used in evaluating these estimates and the assumptions on which they are based. The use of different assumptions may have a significant effect on the amortization of deferred acquisition costs.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Deferred acquisition costs were $ 28.9 million and $30.3 million for the years ended December 31, 2020 and 2019, respectively. Amortization of DAC was $14.2 million and $8.4 million for the years ended December 31, 2020 and 2019, respectively, and was included within amortization of deferred acquisition costs and intangibles in the consolidated statements of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We do not utilize anticipated investment income on our assets when evaluating the need for a PDR. The calculation of premium deficiency reserves requires the use of significant judgments and estimates to determine the present value of future premium and present value of expected losses and expenses in our business. The differences between the actual results and our estimates could vary materially. We completed a PDR analysis as of December 31, 2020 and 2019, and determined that no PDR was required.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Reinsurance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5" w:right="339" w:bottom="1440" w:gutter="0" w:footer="0" w:header="0"/>
        </w:sectPr>
      </w:pPr>
    </w:p>
    <w:bookmarkStart w:id="212" w:name="page213"/>
    <w:bookmarkEnd w:id="21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3" w:lineRule="auto"/>
        <w:tabs>
          <w:tab w:leader="none" w:pos="2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us.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Estimation of losses are based on historical claim and cure experience and covered exposures and is inherently judgmental. Future developments may result in losses greater or less than the liability for loss reserves provided.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loan-to-value ratio in accordance with the Homeowners Protection Act of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5" w:right="339" w:bottom="1440" w:gutter="0" w:footer="0" w:header="0"/>
        </w:sectPr>
      </w:pPr>
    </w:p>
    <w:bookmarkStart w:id="213" w:name="page214"/>
    <w:bookmarkEnd w:id="21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as a cumulative adjustment on a retrospective basis in current period net income. These reviews include the consideration of recent and projected loss and policy cancellation experience, and adjustments to the estimated earnings patterns are made, if warranted. In 2019, the review resulted in an increase in earned premiums of $13.7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our employees participate in Genworth’s incentive plans, under which our employees may be granted share-based awards, including stock options. Compensation expense is recognized based on a grant date fair value, adjusted for expected forfeitures, through the income statement over the respective vesting period of the awards. See Note 10 for additional information related to share-based compensation.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We account for these employee benefit plans as multiemployer benefit plans. Accordingly, we do not record an asset or liability to recognize the funded status of the employee benefit plans. Expenses related to employee benefits are included within acquisition and operating expenses, net of deferrals in the consolidated statements of income. See Note 9 for additional information related to employee benefits.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8 for further details.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involvement with VIEs consists of excess of loss reinsurance agreements with special purpose insurers domiciled in Bermuda. Triangle Re 2019-1 Ltd. (“Triangle Re 2019-1”) and Triangle Re 2020-1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5" w:right="339" w:bottom="1440" w:gutter="0" w:footer="0" w:header="0"/>
        </w:sectPr>
      </w:pPr>
    </w:p>
    <w:bookmarkStart w:id="214" w:name="page215"/>
    <w:bookmarkEnd w:id="21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Ltd. (“Triangle Re 2020-1”) finance the reinsurance coverage by issuing mortgage insurance-linked notes to unaffiliated investors. The assets of the VIEs are deposited in reinsurance trusts for our benefit that will be the source of reinsurance claim payments. Our involvement with these VIEs does not result in the unilateral power to direct the activities that most significantly affect the VIEs’ economic performance or result in the obligation to absorb losses or the right to receive benefits. Accordingly, consolidation of the VIEs is not required. See Note 6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Disclosures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consolidated financial statements but impacted our fair value disclosures.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Reference Rate Reform</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March 2020 and January 2021, the FASB issued new accounting guidance related to reference rate reform, which was effective for us on January 1, 2020. The guidance provides temporary guidance to ease the potential burden in accounting for, or recognizing the effects of, reference rate reform, which includes the transition away from the London Interbank Offered Rate (“LIBOR”) and other interbank offered rates to alternative reference rates, such as the Secured Overnight Financing Rate. This new guidance provides optional practical expedients and exceptions for applying generally accepted accounting principles to investments, derivatives or other transactions affected by reference rate reform.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Period of Certain Callable Debt Securities Held at a Premium</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2019, we adopted new accounting guidance related to shortening the amortization period of certain callable debt securities held at a premium. The guidance requires the premium to be amortized to the earliest call date. This change does not apply to securities held at a discount. We adopted this new accounting guidance using the modified retrospective method, which did not have a significant impact on our consolidated financial statements at adoption.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Leases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January 1, 2019, we adopted new accounting guidance related to the accounting for leases. The new guidance generally requires lessees to recognize both a right-of-use asset and a corresponding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5" w:right="339" w:bottom="1440" w:gutter="0" w:footer="0" w:header="0"/>
        </w:sectPr>
      </w:pPr>
    </w:p>
    <w:bookmarkStart w:id="215" w:name="page216"/>
    <w:bookmarkEnd w:id="21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lease liability on the balance sheet. We adopted this new accounting guidance using the effective date transition method, which permits entities to apply the new lease standard using a modified retrospective transition approach at the date of adoption.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2 years to 7 years and had a weighted-average remaining lease term of 7.0 years as of December 31, 2020. The implicit rate of our lease agreements was not readily determinable; therefore, we utilized our incremental borrowing rate to discount future lease payments. The weighted-average discount rate was 7.1% as of December 31, 2020.</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2020, under this new accounting guidance, annual rental expense was $3.4 million. Annual rental expense and future minimum lease payments were not significantly different under this new accounting guidance as compared to the previous guidance. See Note 12 for details.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early adopted this new accounting guidance on January 1, 2021, using the retrospective method or modified retrospective method for certain changes and prospective method for all other changes, which did not have a significant impact on our consolidated financial statements and disclosures.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We early adopted this new accounting guidance on January 1, 2021, using the modified retrospective method, which did not have a significant impact on our consolidated financial statements.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and as a result the new accounting guidance did not have an impact on premiums receivable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5" w:right="339" w:bottom="1440" w:gutter="0" w:footer="0" w:header="0"/>
        </w:sectPr>
      </w:pPr>
    </w:p>
    <w:bookmarkStart w:id="216" w:name="page217"/>
    <w:bookmarkEnd w:id="21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b w:val="1"/>
                <w:bCs w:val="1"/>
                <w:color w:val="auto"/>
                <w:w w:val="99"/>
              </w:rPr>
              <w:t>(3)</w:t>
            </w:r>
          </w:p>
        </w:tc>
        <w:tc>
          <w:tcPr>
            <w:tcW w:w="7740" w:type="dxa"/>
            <w:vAlign w:val="bottom"/>
          </w:tcPr>
          <w:p>
            <w:pPr>
              <w:ind w:left="400"/>
              <w:spacing w:after="0"/>
              <w:rPr>
                <w:sz w:val="20"/>
                <w:szCs w:val="20"/>
                <w:color w:val="auto"/>
              </w:rPr>
            </w:pPr>
            <w:r>
              <w:rPr>
                <w:rFonts w:ascii="Arial" w:cs="Arial" w:eastAsia="Arial" w:hAnsi="Arial"/>
                <w:sz w:val="18"/>
                <w:szCs w:val="18"/>
                <w:b w:val="1"/>
                <w:bCs w:val="1"/>
                <w:color w:val="auto"/>
              </w:rPr>
              <w:t>Investments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Net Investment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Sources of net investment income were as follows for the year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available-for-sale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117,407</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 before expenses and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 and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116,927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Net Investment Gains (Losses)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4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Gross realized gains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realized gains (losses)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other-than-temporary impairments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Portion of other-than-temporary impairments included in other comprehensive income (loss)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other-than-temporary impairments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investment gains (losses)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unrealized gains and losses on available-for-sale securities reflected as a separate component of accumulated other comprehensive income (loss) were as follows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 securities: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Fixed maturity securities not other-than-temporarily impaired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264,680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121,085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other-than-temporarily impaired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264,680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unrealized investment gains (losses)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5" w:right="339" w:bottom="1440" w:gutter="0" w:footer="0" w:header="0"/>
        </w:sectPr>
      </w:pPr>
    </w:p>
    <w:bookmarkStart w:id="217" w:name="page218"/>
    <w:bookmarkEnd w:id="21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net unrealized gains (losses) on available-for-sale securities reported in accumulated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as follows as of and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120,505</w:t>
            </w: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to net investment (gains) losses, net of taxes of $(702) and $147,</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investment gains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amortized cost, gross unrealized gains (losses) and fair value of our fixed maturity securities classified as available-for-sale were as follows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other-than-</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Other-than-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060" w:type="dxa"/>
            <w:vAlign w:val="bottom"/>
          </w:tcPr>
          <w:p>
            <w:pPr>
              <w:jc w:val="center"/>
              <w:ind w:left="181"/>
              <w:spacing w:after="0" w:line="135"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temporarily</w:t>
            </w:r>
          </w:p>
        </w:tc>
        <w:tc>
          <w:tcPr>
            <w:tcW w:w="22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impaired</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impaired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impaired</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14,749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187,377</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194,961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2,888,625</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fixed maturity securities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269,239</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(4,559)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5" w:right="339" w:bottom="1440" w:gutter="0" w:footer="0" w:header="0"/>
        </w:sectPr>
      </w:pPr>
    </w:p>
    <w:bookmarkStart w:id="218" w:name="page219"/>
    <w:bookmarkEnd w:id="21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Gross unrealized Gains</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other-than-</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Other-than-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other-than-</w:t>
            </w: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Other-than-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060" w:type="dxa"/>
            <w:vAlign w:val="bottom"/>
          </w:tcPr>
          <w:p>
            <w:pPr>
              <w:jc w:val="center"/>
              <w:ind w:left="181"/>
              <w:spacing w:after="0" w:line="135" w:lineRule="exact"/>
              <w:rPr>
                <w:sz w:val="20"/>
                <w:szCs w:val="20"/>
                <w:color w:val="auto"/>
              </w:rPr>
            </w:pPr>
            <w:r>
              <w:rPr>
                <w:rFonts w:ascii="Arial" w:cs="Arial" w:eastAsia="Arial" w:hAnsi="Arial"/>
                <w:sz w:val="14"/>
                <w:szCs w:val="14"/>
                <w:b w:val="1"/>
                <w:bCs w:val="1"/>
                <w:color w:val="auto"/>
              </w:rPr>
              <w:t>temporarily</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temporarily</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temporarily</w:t>
            </w:r>
          </w:p>
        </w:tc>
        <w:tc>
          <w:tcPr>
            <w:tcW w:w="220" w:type="dxa"/>
            <w:vAlign w:val="bottom"/>
          </w:tcPr>
          <w:p>
            <w:pPr>
              <w:spacing w:after="0"/>
              <w:rPr>
                <w:sz w:val="11"/>
                <w:szCs w:val="11"/>
                <w:color w:val="auto"/>
              </w:rPr>
            </w:pPr>
          </w:p>
        </w:tc>
        <w:tc>
          <w:tcPr>
            <w:tcW w:w="11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impaired</w:t>
            </w:r>
          </w:p>
        </w:tc>
        <w:tc>
          <w:tcPr>
            <w:tcW w:w="1060" w:type="dxa"/>
            <w:vAlign w:val="bottom"/>
          </w:tcPr>
          <w:p>
            <w:pPr>
              <w:jc w:val="center"/>
              <w:ind w:left="181"/>
              <w:spacing w:after="0"/>
              <w:rPr>
                <w:sz w:val="20"/>
                <w:szCs w:val="20"/>
                <w:color w:val="auto"/>
              </w:rPr>
            </w:pPr>
            <w:r>
              <w:rPr>
                <w:rFonts w:ascii="Arial" w:cs="Arial" w:eastAsia="Arial" w:hAnsi="Arial"/>
                <w:sz w:val="14"/>
                <w:szCs w:val="14"/>
                <w:b w:val="1"/>
                <w:bCs w:val="1"/>
                <w:color w:val="auto"/>
              </w:rPr>
              <w:t>impaired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impaired</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impaired</w:t>
            </w: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U.S. government, agencies and</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2,175,580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86,489</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2,261,446</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155"/>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fixed maturity securities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122,806</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61"/>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available-for-sale</w:t>
            </w: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Unrealized Losses and Fair Values of Fixed Maturity Securities Available-For-Sale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tables present the gross unrealized losses and fair values of our fixed maturity securities, aggregated by investment type and length of time that individual fixed maturity securities have been in a continuous unrealized loss position,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12 months or more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8"/>
                <w:szCs w:val="8"/>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74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2"/>
                <w:szCs w:val="12"/>
                <w:color w:val="auto"/>
              </w:rPr>
            </w:pPr>
          </w:p>
        </w:tc>
        <w:tc>
          <w:tcPr>
            <w:tcW w:w="72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74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tcPr>
          <w:p>
            <w:pPr>
              <w:jc w:val="right"/>
              <w:ind w:right="158"/>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maturity securities: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U.S. government, agencies and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vMerge w:val="restart"/>
          </w:tcPr>
          <w:p>
            <w:pPr>
              <w:ind w:left="620"/>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rPr>
                <w:sz w:val="20"/>
                <w:szCs w:val="20"/>
                <w:color w:val="auto"/>
              </w:rPr>
            </w:pPr>
            <w:r>
              <w:rPr>
                <w:rFonts w:ascii="Arial" w:cs="Arial" w:eastAsia="Arial" w:hAnsi="Arial"/>
                <w:sz w:val="13"/>
                <w:szCs w:val="13"/>
                <w:color w:val="auto"/>
              </w:rPr>
              <w:t>GSEs</w:t>
            </w: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rPr>
                <w:sz w:val="20"/>
                <w:szCs w:val="20"/>
                <w:color w:val="auto"/>
              </w:rPr>
            </w:pPr>
            <w:r>
              <w:rPr>
                <w:rFonts w:ascii="Arial" w:cs="Arial" w:eastAsia="Arial" w:hAnsi="Arial"/>
                <w:sz w:val="13"/>
                <w:szCs w:val="13"/>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32,533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50,851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rPr>
                <w:sz w:val="20"/>
                <w:szCs w:val="20"/>
                <w:color w:val="auto"/>
              </w:rPr>
            </w:pPr>
            <w:r>
              <w:rPr>
                <w:rFonts w:ascii="Arial" w:cs="Arial" w:eastAsia="Arial" w:hAnsi="Arial"/>
                <w:sz w:val="13"/>
                <w:szCs w:val="13"/>
                <w:color w:val="auto"/>
              </w:rPr>
              <w:t>&lt;20% Below cost.........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98,694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(1,846)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28,914</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127,608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4"/>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20%-50% Below cost......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49"/>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98,694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Below investment grade......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(2,325)</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08"/>
        </w:trPr>
        <w:tc>
          <w:tcPr>
            <w:tcW w:w="198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for fixed maturity</w:t>
            </w: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106,369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(4,171)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28,914</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(388)</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135,283</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(4,559)</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5" w:right="339" w:bottom="1440" w:gutter="0" w:footer="0" w:header="0"/>
        </w:sectPr>
      </w:pPr>
    </w:p>
    <w:bookmarkStart w:id="219" w:name="page220"/>
    <w:bookmarkEnd w:id="21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Less than 12 months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12 months or more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8"/>
                <w:szCs w:val="8"/>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740" w:type="dxa"/>
            <w:vAlign w:val="bottom"/>
            <w:vMerge w:val="restart"/>
          </w:tcPr>
          <w:p>
            <w:pPr>
              <w:jc w:val="right"/>
              <w:ind w:right="318"/>
              <w:spacing w:after="0"/>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8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20" w:type="dxa"/>
            <w:vAlign w:val="bottom"/>
          </w:tcPr>
          <w:p>
            <w:pPr>
              <w:spacing w:after="0"/>
              <w:rPr>
                <w:sz w:val="12"/>
                <w:szCs w:val="12"/>
                <w:color w:val="auto"/>
              </w:rPr>
            </w:pPr>
          </w:p>
        </w:tc>
        <w:tc>
          <w:tcPr>
            <w:tcW w:w="72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740" w:type="dxa"/>
            <w:vAlign w:val="bottom"/>
          </w:tcPr>
          <w:p>
            <w:pPr>
              <w:jc w:val="right"/>
              <w:ind w:right="278"/>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securities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tcPr>
          <w:p>
            <w:pPr>
              <w:jc w:val="right"/>
              <w:ind w:right="158"/>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maturity securities: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U.S. government, agencies and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1,856</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2,129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3,985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1980" w:type="dxa"/>
            <w:vAlign w:val="bottom"/>
          </w:tcPr>
          <w:p>
            <w:pPr>
              <w:ind w:left="180"/>
              <w:spacing w:after="0"/>
              <w:rPr>
                <w:sz w:val="20"/>
                <w:szCs w:val="20"/>
                <w:color w:val="auto"/>
              </w:rPr>
            </w:pPr>
            <w:r>
              <w:rPr>
                <w:rFonts w:ascii="Arial" w:cs="Arial" w:eastAsia="Arial" w:hAnsi="Arial"/>
                <w:sz w:val="13"/>
                <w:szCs w:val="13"/>
                <w:color w:val="auto"/>
              </w:rPr>
              <w:t>GSEs</w:t>
            </w:r>
          </w:p>
        </w:tc>
        <w:tc>
          <w:tcPr>
            <w:tcW w:w="2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political subdivisions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government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corporate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Non-U.S. corporate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asset-backed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48,759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218,639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48"/>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 Below cost: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&lt;20% Below cost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243,879</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(1,388)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56,895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300,774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20%-50% Below cost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19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for fixed maturity</w:t>
            </w: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48"/>
        </w:trPr>
        <w:tc>
          <w:tcPr>
            <w:tcW w:w="1980" w:type="dxa"/>
            <w:vAlign w:val="bottom"/>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9"/>
        </w:trPr>
        <w:tc>
          <w:tcPr>
            <w:tcW w:w="1980" w:type="dxa"/>
            <w:vAlign w:val="bottom"/>
          </w:tcPr>
          <w:p>
            <w:pPr>
              <w:ind w:left="20"/>
              <w:spacing w:after="0"/>
              <w:rPr>
                <w:sz w:val="20"/>
                <w:szCs w:val="20"/>
                <w:color w:val="auto"/>
              </w:rPr>
            </w:pPr>
            <w:r>
              <w:rPr>
                <w:rFonts w:ascii="Arial" w:cs="Arial" w:eastAsia="Arial" w:hAnsi="Arial"/>
                <w:sz w:val="13"/>
                <w:szCs w:val="13"/>
                <w:color w:val="auto"/>
              </w:rPr>
              <w:t>Below investment grade......</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19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Total for fixed maturity</w:t>
            </w: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securities in an unrealized</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243,879</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(1,388)</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56,895</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(333)</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300,774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(1,721)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61</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loss position</w:t>
            </w:r>
          </w:p>
        </w:tc>
        <w:tc>
          <w:tcPr>
            <w:tcW w:w="2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scheduled maturity distribution of fixed maturity securities as of December 31, 2020, is set forth below. Actual maturities may differ from contractual maturities because issuers of securities may have the right to call or prepay obligations with or without call or prepayment penalties.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3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155,569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157,139</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2,085,094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2,237,162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1,406,381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3,852,926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1,193,670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maturity securities available-for-sale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5" w:right="339" w:bottom="1440" w:gutter="0" w:footer="0" w:header="0"/>
        </w:sectPr>
      </w:pPr>
    </w:p>
    <w:bookmarkStart w:id="220" w:name="page221"/>
    <w:bookmarkEnd w:id="22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securities issued by finance and insurance, consumer—non -cyclical and technology and communications industry groups represented approximately 29%, 17%, and 14%, respectively, of our domestic and foreign corporate fixed maturity securities portfolio. No other industry group comprised more than 10% of our investment portfolio.</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2020 and 2019, we did not hold any fixed maturity securities in any single issuer, other than securities issued or guaranteed by the U.S. government, which exceeded 10% of equity.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and 2019, $27.8 million and $26.1 million, respectively, of securities were on deposit with various state insurance commissioners in order to comply with relevant insurance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December 12, 2019, we held 14.1 million, or approximately 16.4%, of the outstanding common shares of Genworth MI Canada Inc. (“Genworth Canada”), a publicly traded company on the Toronto Stock Exchange. We concluded that we had significant influence over Genworth Canada primarily due to board representation, and therefore, we classified our investment in Genworth Canada as an equity method investment. We elected to account for the investment in Genworth Canada under the fair value option because the investment had a readily determinable fair value.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 and received approximately $501.8 million in net cash proceeds. We also received cash proceeds from the sale of common shares of Genworth Canada of $8.4 million in 2019 related to share repurchases by Genworth Canada.</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pre-tax change in fair value of the investment in Genworth Canada, including dividends and the sale of common shares, was $127.4 million in 2019. This was included within change in fair value of unconsolidated affiliate in the consolidated statements of income, net of provision for income taxes of $12.1 million in 2019.</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summarized statement of income information from January 1, 2019, to December 12, 2019, the period we held an equity method investment in Genworth Canada: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585,066</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Expense</w:t>
            </w:r>
          </w:p>
        </w:tc>
        <w:tc>
          <w:tcPr>
            <w:tcW w:w="4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197,889</w:t>
            </w:r>
          </w:p>
        </w:tc>
      </w:tr>
    </w:tbl>
    <w:p>
      <w:pPr>
        <w:spacing w:after="0" w:line="234"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Measured at Fair Value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5" w:right="339" w:bottom="1440" w:gutter="0" w:footer="0" w:header="0"/>
        </w:sectPr>
      </w:pPr>
    </w:p>
    <w:bookmarkStart w:id="221" w:name="page222"/>
    <w:bookmarkEnd w:id="22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its investment securities after considering all relevant and available information.</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it obtains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 quotes are typically based on an income approach given the lack of available market data. As the valuation typically includes significant unobservable inputs, we classify the securities where fair value is based on its consideration of broker quotes as Level 3 measurements.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December 31, 2020.</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assessment of whether or not there were significant unobservable inputs related to fixed maturity securities was based on its observations obtained through the course of managing its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its estimated values incorporate significant unobservable inputs that would result in the valuation being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5" w:right="339" w:bottom="1440" w:gutter="0" w:footer="0" w:header="0"/>
        </w:sectPr>
      </w:pPr>
    </w:p>
    <w:bookmarkStart w:id="222" w:name="page223"/>
    <w:bookmarkEnd w:id="22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combined certain classes of instruments together as the nature of the inputs is similar.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fixed maturity securities classified as Level 1 as of December 31, 2020 and 2019.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estimating the fair value of fixed maturity securities, approximately 91% of our portfolio was priced using third-party pricing services as of December 31,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The following table presents a summary of the significant inputs used by our pricing services for certain fair value measurements of fixed maturity securities that are classified as Level 2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U.S. government,</w:t>
            </w:r>
          </w:p>
        </w:tc>
        <w:tc>
          <w:tcPr>
            <w:tcW w:w="22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138,224</w:t>
            </w: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Price quotes from trading desk, broker feeds</w:t>
            </w:r>
          </w:p>
        </w:tc>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Bid side prices, trade prices, Option Adjusted</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agencies and GSEs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Spread (“OAS”) to swap curve, Bond Market</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Association OAS, Treasury Curve, Agency</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Bullet Curve, maturity to issuer spread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State and political</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Trade prices, material event notices,</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third-party pricing vendors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Municipal Market Data benchmark yields,</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quotes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80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1" w:lineRule="exact"/>
        <w:rPr>
          <w:sz w:val="20"/>
          <w:szCs w:val="20"/>
          <w:color w:val="auto"/>
        </w:rPr>
      </w:pPr>
    </w:p>
    <w:p>
      <w:pPr>
        <w:ind w:left="20"/>
        <w:spacing w:after="0"/>
        <w:tabs>
          <w:tab w:leader="none" w:pos="2080" w:val="left"/>
          <w:tab w:leader="none" w:pos="2740" w:val="left"/>
          <w:tab w:leader="none" w:pos="3480" w:val="left"/>
        </w:tabs>
        <w:rPr>
          <w:sz w:val="20"/>
          <w:szCs w:val="20"/>
          <w:color w:val="auto"/>
        </w:rPr>
      </w:pPr>
      <w:r>
        <w:rPr>
          <w:rFonts w:ascii="Arial" w:cs="Arial" w:eastAsia="Arial" w:hAnsi="Arial"/>
          <w:sz w:val="18"/>
          <w:szCs w:val="18"/>
          <w:color w:val="auto"/>
        </w:rPr>
        <w:t>Non-U.S. government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31,031</w:t>
      </w:r>
      <w:r>
        <w:rPr>
          <w:sz w:val="20"/>
          <w:szCs w:val="20"/>
          <w:color w:val="auto"/>
        </w:rPr>
        <w:tab/>
      </w:r>
      <w:r>
        <w:rPr>
          <w:rFonts w:ascii="Arial" w:cs="Arial" w:eastAsia="Arial" w:hAnsi="Arial"/>
          <w:sz w:val="17"/>
          <w:szCs w:val="17"/>
          <w:color w:val="auto"/>
        </w:rPr>
        <w:t>Matrix pricing, spread priced to benchmark</w:t>
      </w:r>
    </w:p>
    <w:p>
      <w:pPr>
        <w:ind w:left="3500"/>
        <w:spacing w:after="0"/>
        <w:rPr>
          <w:sz w:val="20"/>
          <w:szCs w:val="20"/>
          <w:color w:val="auto"/>
        </w:rPr>
      </w:pPr>
      <w:r>
        <w:rPr>
          <w:rFonts w:ascii="Arial" w:cs="Arial" w:eastAsia="Arial" w:hAnsi="Arial"/>
          <w:sz w:val="18"/>
          <w:szCs w:val="18"/>
          <w:color w:val="auto"/>
        </w:rPr>
        <w:t>curves, price quotes from market makers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Benchmark yields, trade prices, broker quotes, comparative transactions, issuer spreads, bid-offer spread, market research publications, third-party pricing sources</w:t>
      </w:r>
    </w:p>
    <w:p>
      <w:pPr>
        <w:spacing w:after="0" w:line="200" w:lineRule="exact"/>
        <w:rPr>
          <w:sz w:val="20"/>
          <w:szCs w:val="20"/>
          <w:color w:val="auto"/>
        </w:rPr>
      </w:pPr>
    </w:p>
    <w:p>
      <w:pPr>
        <w:sectPr>
          <w:pgSz w:w="11900" w:h="16838" w:orient="portrait"/>
          <w:cols w:equalWidth="0" w:num="2">
            <w:col w:w="6900" w:space="640"/>
            <w:col w:w="370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225" w:right="339" w:bottom="1440" w:gutter="0" w:footer="0" w:header="0"/>
          <w:type w:val="continuous"/>
        </w:sectPr>
      </w:pPr>
    </w:p>
    <w:bookmarkStart w:id="223" w:name="page224"/>
    <w:bookmarkEnd w:id="22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corporate</w:t>
            </w:r>
          </w:p>
        </w:tc>
        <w:tc>
          <w:tcPr>
            <w:tcW w:w="2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2,583,990</w:t>
            </w: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Bid side prices to Treasury Curve, Issuer</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broker quotes,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Curve, which includes sector, quality, duration,</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 internal models, OAS-based</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OAS percentage and change for spread</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matrix, trade prices, comparative transactions,</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Trade Reporting and Compliance Engine</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(“TRACE”) reports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Non-U.S. corporate</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463,664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Benchmark yields, trade prices, broker</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OAS-based models,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quotes, comparative transactions, issuer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spreads, bid-offer spread, market research</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publications, third-party pricing sources</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asset-backed</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1,179,889</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Spreads to daily updated swaps curves,</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spread matrix priced to swap curves,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spreads derived from trade prices and broker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price quotes from market makers, internal</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quotes, bid side prices, new issue data,</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collateral performance, analysis of</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prepayment speeds, cash flows, collateral</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analytics, historical issue analysis, trade</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from market makers, TRACE reports</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portion of our U.S. corporate and non-U.S. corporate securities are valued using internal models. The fair value of these fixed maturity securities was $185.3 million and $48.3 million, respectively, as of December 31,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Broker Quotes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$59.1 million as of December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5" w:right="339" w:bottom="1440" w:gutter="0" w:footer="0" w:header="0"/>
        </w:sectPr>
      </w:pPr>
    </w:p>
    <w:bookmarkStart w:id="224" w:name="page225"/>
    <w:bookmarkEnd w:id="22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$169.8 million as of December 31, 2020.</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assets by class of instrument that are measured at fair value on a recurring basis as of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119,373</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95,751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1,179,889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5,046,596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4,817,691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228,905</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228,905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4"/>
                <w:szCs w:val="2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asset-backed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3,583,343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181,089</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3,583,343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recorded at fair value as of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5" w:right="339" w:bottom="1440" w:gutter="0" w:footer="0" w:header="0"/>
        </w:sectPr>
      </w:pPr>
    </w:p>
    <w:bookmarkStart w:id="225" w:name="page226"/>
    <w:bookmarkEnd w:id="22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97"/>
              </w:rPr>
              <w:t>Total realized and unrealized</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left="369"/>
              <w:spacing w:after="0"/>
              <w:rPr>
                <w:sz w:val="20"/>
                <w:szCs w:val="20"/>
                <w:color w:val="auto"/>
              </w:rPr>
            </w:pPr>
            <w:r>
              <w:rPr>
                <w:rFonts w:ascii="Arial" w:cs="Arial" w:eastAsia="Arial" w:hAnsi="Arial"/>
                <w:sz w:val="10"/>
                <w:szCs w:val="10"/>
                <w:b w:val="1"/>
                <w:bCs w:val="1"/>
                <w:color w:val="auto"/>
                <w:w w:val="98"/>
              </w:rPr>
              <w:t>Total gains</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gridSpan w:val="4"/>
          </w:tcPr>
          <w:p>
            <w:pPr>
              <w:jc w:val="center"/>
              <w:ind w:right="26"/>
              <w:spacing w:after="0" w:line="95" w:lineRule="exact"/>
              <w:rPr>
                <w:sz w:val="20"/>
                <w:szCs w:val="20"/>
                <w:color w:val="auto"/>
              </w:rPr>
            </w:pPr>
            <w:r>
              <w:rPr>
                <w:rFonts w:ascii="Arial" w:cs="Arial" w:eastAsia="Arial" w:hAnsi="Arial"/>
                <w:sz w:val="10"/>
                <w:szCs w:val="10"/>
                <w:b w:val="1"/>
                <w:bCs w:val="1"/>
                <w:color w:val="auto"/>
                <w:w w:val="99"/>
              </w:rPr>
              <w:t>(losses) attributable to assets still</w:t>
            </w: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8"/>
              </w:rPr>
              <w:t>gains (losses)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center"/>
              <w:ind w:left="369"/>
              <w:spacing w:after="0"/>
              <w:rPr>
                <w:sz w:val="20"/>
                <w:szCs w:val="20"/>
                <w:color w:val="auto"/>
              </w:rPr>
            </w:pPr>
            <w:r>
              <w:rPr>
                <w:rFonts w:ascii="Arial" w:cs="Arial" w:eastAsia="Arial" w:hAnsi="Arial"/>
                <w:sz w:val="10"/>
                <w:szCs w:val="10"/>
                <w:b w:val="1"/>
                <w:bCs w:val="1"/>
                <w:color w:val="auto"/>
                <w:w w:val="97"/>
              </w:rPr>
              <w:t>held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0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21"/>
                <w:szCs w:val="2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Balance</w:t>
            </w: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0"/>
                <w:szCs w:val="10"/>
                <w:b w:val="1"/>
                <w:bCs w:val="1"/>
                <w:color w:val="auto"/>
              </w:rPr>
              <w:t>Included</w:t>
            </w: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1"/>
                <w:szCs w:val="21"/>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Balance</w:t>
            </w: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4"/>
              </w:rPr>
              <w:t>as of</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9"/>
              </w:rPr>
              <w:t>Included in net</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January 1,</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7"/>
              </w:rPr>
              <w:t>in net</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20" w:type="dxa"/>
            <w:vAlign w:val="bottom"/>
          </w:tcPr>
          <w:p>
            <w:pPr>
              <w:spacing w:after="0"/>
              <w:rPr>
                <w:sz w:val="8"/>
                <w:szCs w:val="8"/>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7"/>
              </w:rPr>
              <w:t>into</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December 31,</w:t>
            </w: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Included in OCI</w:t>
            </w:r>
          </w:p>
        </w:tc>
        <w:tc>
          <w:tcPr>
            <w:tcW w:w="0" w:type="dxa"/>
            <w:vAlign w:val="bottom"/>
          </w:tcPr>
          <w:p>
            <w:pPr>
              <w:spacing w:after="0"/>
              <w:rPr>
                <w:sz w:val="1"/>
                <w:szCs w:val="1"/>
                <w:color w:val="auto"/>
              </w:rPr>
            </w:pPr>
          </w:p>
        </w:tc>
      </w:tr>
      <w:tr>
        <w:trPr>
          <w:trHeight w:val="135"/>
        </w:trPr>
        <w:tc>
          <w:tcPr>
            <w:tcW w:w="10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66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1"/>
                <w:szCs w:val="11"/>
                <w:color w:val="auto"/>
              </w:rPr>
            </w:pPr>
          </w:p>
        </w:tc>
        <w:tc>
          <w:tcPr>
            <w:tcW w:w="880" w:type="dxa"/>
            <w:vAlign w:val="bottom"/>
          </w:tcPr>
          <w:p>
            <w:pPr>
              <w:jc w:val="center"/>
              <w:ind w:right="88"/>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income</w:t>
            </w: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040" w:type="dxa"/>
            <w:vAlign w:val="bottom"/>
            <w:tcBorders>
              <w:top w:val="single" w:sz="8" w:color="CCEEFF"/>
            </w:tcBorders>
            <w:shd w:val="clear" w:color="auto" w:fill="CCEEFF"/>
          </w:tcPr>
          <w:p>
            <w:pPr>
              <w:ind w:left="20"/>
              <w:spacing w:after="0" w:line="99" w:lineRule="exact"/>
              <w:rPr>
                <w:sz w:val="20"/>
                <w:szCs w:val="20"/>
                <w:color w:val="auto"/>
              </w:rPr>
            </w:pPr>
            <w:r>
              <w:rPr>
                <w:rFonts w:ascii="Arial" w:cs="Arial" w:eastAsia="Arial" w:hAnsi="Arial"/>
                <w:sz w:val="11"/>
                <w:szCs w:val="11"/>
                <w:color w:val="auto"/>
              </w:rPr>
              <w:t>Fixed maturity</w:t>
            </w: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securities:</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40" w:type="dxa"/>
            <w:vAlign w:val="bottom"/>
          </w:tcPr>
          <w:p>
            <w:pPr>
              <w:ind w:left="140"/>
              <w:spacing w:after="0"/>
              <w:rPr>
                <w:sz w:val="20"/>
                <w:szCs w:val="20"/>
                <w:color w:val="auto"/>
              </w:rPr>
            </w:pPr>
            <w:r>
              <w:rPr>
                <w:rFonts w:ascii="Arial" w:cs="Arial" w:eastAsia="Arial" w:hAnsi="Arial"/>
                <w:sz w:val="11"/>
                <w:szCs w:val="11"/>
                <w:color w:val="auto"/>
              </w:rPr>
              <w:t>U.S. corporate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
              <w:spacing w:after="0"/>
              <w:rPr>
                <w:sz w:val="20"/>
                <w:szCs w:val="20"/>
                <w:color w:val="auto"/>
              </w:rPr>
            </w:pPr>
            <w:r>
              <w:rPr>
                <w:rFonts w:ascii="Arial" w:cs="Arial" w:eastAsia="Arial" w:hAnsi="Arial"/>
                <w:sz w:val="11"/>
                <w:szCs w:val="11"/>
                <w:color w:val="auto"/>
              </w:rPr>
              <w:t>162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2,663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70,552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(13,332)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18,216</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(58,750)</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119,373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2"/>
                <w:szCs w:val="12"/>
                <w:color w:val="auto"/>
              </w:rPr>
            </w:pPr>
          </w:p>
        </w:tc>
        <w:tc>
          <w:tcPr>
            <w:tcW w:w="340" w:type="dxa"/>
            <w:vAlign w:val="bottom"/>
          </w:tcPr>
          <w:p>
            <w:pPr>
              <w:jc w:val="right"/>
              <w:ind w:right="208"/>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4,694</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40" w:type="dxa"/>
            <w:vAlign w:val="bottom"/>
            <w:shd w:val="clear" w:color="auto" w:fill="CCEEFF"/>
          </w:tcPr>
          <w:p>
            <w:pPr>
              <w:ind w:left="140"/>
              <w:spacing w:after="0" w:line="119" w:lineRule="exact"/>
              <w:rPr>
                <w:sz w:val="20"/>
                <w:szCs w:val="20"/>
                <w:color w:val="auto"/>
              </w:rPr>
            </w:pPr>
            <w:r>
              <w:rPr>
                <w:rFonts w:ascii="Arial" w:cs="Arial" w:eastAsia="Arial" w:hAnsi="Arial"/>
                <w:sz w:val="11"/>
                <w:szCs w:val="11"/>
                <w:color w:val="auto"/>
              </w:rPr>
              <w:t>Non-U.S.</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1,683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32,000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(16,471)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27,641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(25,402)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95,751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(1,219)</w:t>
            </w:r>
          </w:p>
        </w:tc>
        <w:tc>
          <w:tcPr>
            <w:tcW w:w="0" w:type="dxa"/>
            <w:vAlign w:val="bottom"/>
          </w:tcPr>
          <w:p>
            <w:pPr>
              <w:spacing w:after="0"/>
              <w:rPr>
                <w:sz w:val="1"/>
                <w:szCs w:val="1"/>
                <w:color w:val="auto"/>
              </w:rPr>
            </w:pPr>
          </w:p>
        </w:tc>
      </w:tr>
      <w:tr>
        <w:trPr>
          <w:trHeight w:val="118"/>
        </w:trPr>
        <w:tc>
          <w:tcPr>
            <w:tcW w:w="1040" w:type="dxa"/>
            <w:vAlign w:val="bottom"/>
          </w:tcPr>
          <w:p>
            <w:pPr>
              <w:ind w:left="140"/>
              <w:spacing w:after="0" w:line="119" w:lineRule="exact"/>
              <w:rPr>
                <w:sz w:val="20"/>
                <w:szCs w:val="20"/>
                <w:color w:val="auto"/>
              </w:rPr>
            </w:pPr>
            <w:r>
              <w:rPr>
                <w:rFonts w:ascii="Arial" w:cs="Arial" w:eastAsia="Arial" w:hAnsi="Arial"/>
                <w:sz w:val="11"/>
                <w:szCs w:val="11"/>
                <w:color w:val="auto"/>
              </w:rPr>
              <w:t>Other asset-</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300"/>
              <w:spacing w:after="0"/>
              <w:rPr>
                <w:sz w:val="20"/>
                <w:szCs w:val="20"/>
                <w:color w:val="auto"/>
              </w:rPr>
            </w:pPr>
            <w:r>
              <w:rPr>
                <w:rFonts w:ascii="Arial" w:cs="Arial" w:eastAsia="Arial" w:hAnsi="Arial"/>
                <w:sz w:val="11"/>
                <w:szCs w:val="11"/>
                <w:color w:val="auto"/>
              </w:rPr>
              <w:t>backed</w:t>
            </w:r>
          </w:p>
        </w:tc>
        <w:tc>
          <w:tcPr>
            <w:tcW w:w="120" w:type="dxa"/>
            <w:vAlign w:val="bottom"/>
          </w:tcPr>
          <w:p>
            <w:pPr>
              <w:spacing w:after="0"/>
              <w:rPr>
                <w:sz w:val="11"/>
                <w:szCs w:val="11"/>
                <w:color w:val="auto"/>
              </w:rPr>
            </w:pPr>
          </w:p>
        </w:tc>
        <w:tc>
          <w:tcPr>
            <w:tcW w:w="660" w:type="dxa"/>
            <w:vAlign w:val="bottom"/>
          </w:tcPr>
          <w:p>
            <w:pPr>
              <w:jc w:val="right"/>
              <w:ind w:right="8"/>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40,868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(29,483)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13,781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22"/>
        </w:trPr>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181,089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1,845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2,078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143,420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(31,749)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45,857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(113,635)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228,905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3,353</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5"/>
            <w:vMerge w:val="restart"/>
          </w:tcPr>
          <w:p>
            <w:pPr>
              <w:jc w:val="center"/>
              <w:ind w:right="180"/>
              <w:spacing w:after="0"/>
              <w:rPr>
                <w:sz w:val="20"/>
                <w:szCs w:val="20"/>
                <w:color w:val="auto"/>
              </w:rPr>
            </w:pPr>
            <w:r>
              <w:rPr>
                <w:rFonts w:ascii="Arial" w:cs="Arial" w:eastAsia="Arial" w:hAnsi="Arial"/>
                <w:sz w:val="10"/>
                <w:szCs w:val="10"/>
                <w:b w:val="1"/>
                <w:bCs w:val="1"/>
                <w:color w:val="auto"/>
                <w:w w:val="97"/>
              </w:rPr>
              <w:t>Total realized and unrealized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69"/>
              <w:spacing w:after="0"/>
              <w:rPr>
                <w:sz w:val="20"/>
                <w:szCs w:val="20"/>
                <w:color w:val="auto"/>
              </w:rPr>
            </w:pPr>
            <w:r>
              <w:rPr>
                <w:rFonts w:ascii="Arial" w:cs="Arial" w:eastAsia="Arial" w:hAnsi="Arial"/>
                <w:sz w:val="10"/>
                <w:szCs w:val="10"/>
                <w:b w:val="1"/>
                <w:bCs w:val="1"/>
                <w:color w:val="auto"/>
                <w:w w:val="98"/>
              </w:rPr>
              <w:t>Total gains</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w w:val="95"/>
              </w:rPr>
              <w:t>(losses)</w:t>
            </w:r>
          </w:p>
        </w:tc>
        <w:tc>
          <w:tcPr>
            <w:tcW w:w="0" w:type="dxa"/>
            <w:vAlign w:val="bottom"/>
          </w:tcPr>
          <w:p>
            <w:pPr>
              <w:spacing w:after="0"/>
              <w:rPr>
                <w:sz w:val="1"/>
                <w:szCs w:val="1"/>
                <w:color w:val="auto"/>
              </w:rPr>
            </w:pPr>
          </w:p>
        </w:tc>
      </w:tr>
      <w:tr>
        <w:trPr>
          <w:trHeight w:val="95"/>
        </w:trPr>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5"/>
          </w:tcPr>
          <w:p>
            <w:pPr>
              <w:jc w:val="center"/>
              <w:ind w:right="180"/>
              <w:spacing w:after="0" w:line="95" w:lineRule="exact"/>
              <w:rPr>
                <w:sz w:val="20"/>
                <w:szCs w:val="20"/>
                <w:color w:val="auto"/>
              </w:rPr>
            </w:pPr>
            <w:r>
              <w:rPr>
                <w:rFonts w:ascii="Arial" w:cs="Arial" w:eastAsia="Arial" w:hAnsi="Arial"/>
                <w:sz w:val="10"/>
                <w:szCs w:val="10"/>
                <w:b w:val="1"/>
                <w:bCs w:val="1"/>
                <w:color w:val="auto"/>
                <w:w w:val="98"/>
              </w:rPr>
              <w:t>gains (losses)</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w w:val="98"/>
              </w:rPr>
              <w:t>included in</w:t>
            </w:r>
          </w:p>
        </w:tc>
        <w:tc>
          <w:tcPr>
            <w:tcW w:w="0" w:type="dxa"/>
            <w:vAlign w:val="bottom"/>
          </w:tcPr>
          <w:p>
            <w:pPr>
              <w:spacing w:after="0"/>
              <w:rPr>
                <w:sz w:val="1"/>
                <w:szCs w:val="1"/>
                <w:color w:val="auto"/>
              </w:rPr>
            </w:pPr>
          </w:p>
        </w:tc>
      </w:tr>
      <w:tr>
        <w:trPr>
          <w:trHeight w:val="40"/>
        </w:trPr>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w w:val="98"/>
              </w:rPr>
              <w:t>Balance</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120" w:type="dxa"/>
            <w:vAlign w:val="bottom"/>
          </w:tcPr>
          <w:p>
            <w:pPr>
              <w:spacing w:after="0"/>
              <w:rPr>
                <w:sz w:val="3"/>
                <w:szCs w:val="3"/>
                <w:color w:val="auto"/>
              </w:rPr>
            </w:pPr>
          </w:p>
        </w:tc>
        <w:tc>
          <w:tcPr>
            <w:tcW w:w="720" w:type="dxa"/>
            <w:vAlign w:val="bottom"/>
            <w:vMerge w:val="restart"/>
          </w:tcPr>
          <w:p>
            <w:pPr>
              <w:jc w:val="center"/>
              <w:ind w:right="69"/>
              <w:spacing w:after="0" w:line="95" w:lineRule="exact"/>
              <w:rPr>
                <w:sz w:val="20"/>
                <w:szCs w:val="20"/>
                <w:color w:val="auto"/>
              </w:rPr>
            </w:pPr>
            <w:r>
              <w:rPr>
                <w:rFonts w:ascii="Arial" w:cs="Arial" w:eastAsia="Arial" w:hAnsi="Arial"/>
                <w:sz w:val="10"/>
                <w:szCs w:val="10"/>
                <w:b w:val="1"/>
                <w:bCs w:val="1"/>
                <w:color w:val="auto"/>
                <w:w w:val="98"/>
              </w:rPr>
              <w:t>net income</w:t>
            </w:r>
          </w:p>
        </w:tc>
        <w:tc>
          <w:tcPr>
            <w:tcW w:w="0" w:type="dxa"/>
            <w:vAlign w:val="bottom"/>
          </w:tcPr>
          <w:p>
            <w:pPr>
              <w:spacing w:after="0"/>
              <w:rPr>
                <w:sz w:val="1"/>
                <w:szCs w:val="1"/>
                <w:color w:val="auto"/>
              </w:rPr>
            </w:pPr>
          </w:p>
        </w:tc>
      </w:tr>
      <w:tr>
        <w:trPr>
          <w:trHeight w:val="34"/>
        </w:trPr>
        <w:tc>
          <w:tcPr>
            <w:tcW w:w="18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Included</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120" w:type="dxa"/>
            <w:vAlign w:val="bottom"/>
          </w:tcPr>
          <w:p>
            <w:pPr>
              <w:spacing w:after="0"/>
              <w:rPr>
                <w:sz w:val="8"/>
                <w:szCs w:val="8"/>
                <w:color w:val="auto"/>
              </w:rPr>
            </w:pPr>
          </w:p>
        </w:tc>
        <w:tc>
          <w:tcPr>
            <w:tcW w:w="720" w:type="dxa"/>
            <w:vAlign w:val="bottom"/>
          </w:tcPr>
          <w:p>
            <w:pPr>
              <w:jc w:val="center"/>
              <w:ind w:right="49"/>
              <w:spacing w:after="0" w:line="95" w:lineRule="exact"/>
              <w:rPr>
                <w:sz w:val="20"/>
                <w:szCs w:val="20"/>
                <w:color w:val="auto"/>
              </w:rPr>
            </w:pPr>
            <w:r>
              <w:rPr>
                <w:rFonts w:ascii="Arial" w:cs="Arial" w:eastAsia="Arial" w:hAnsi="Arial"/>
                <w:sz w:val="10"/>
                <w:szCs w:val="10"/>
                <w:b w:val="1"/>
                <w:bCs w:val="1"/>
                <w:color w:val="auto"/>
                <w:w w:val="99"/>
              </w:rPr>
              <w:t>attributable</w:t>
            </w: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6"/>
              </w:rPr>
              <w:t>January 1,</w:t>
            </w:r>
          </w:p>
        </w:tc>
        <w:tc>
          <w:tcPr>
            <w:tcW w:w="80" w:type="dxa"/>
            <w:vAlign w:val="bottom"/>
          </w:tcPr>
          <w:p>
            <w:pPr>
              <w:spacing w:after="0"/>
              <w:rPr>
                <w:sz w:val="8"/>
                <w:szCs w:val="8"/>
                <w:color w:val="auto"/>
              </w:rPr>
            </w:pPr>
          </w:p>
        </w:tc>
        <w:tc>
          <w:tcPr>
            <w:tcW w:w="74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7"/>
              </w:rPr>
              <w:t>in net</w:t>
            </w: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Purchases</w:t>
            </w:r>
          </w:p>
        </w:tc>
        <w:tc>
          <w:tcPr>
            <w:tcW w:w="120" w:type="dxa"/>
            <w:vAlign w:val="bottom"/>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into</w:t>
            </w:r>
          </w:p>
        </w:tc>
        <w:tc>
          <w:tcPr>
            <w:tcW w:w="120" w:type="dxa"/>
            <w:vAlign w:val="bottom"/>
          </w:tcPr>
          <w:p>
            <w:pPr>
              <w:spacing w:after="0"/>
              <w:rPr>
                <w:sz w:val="8"/>
                <w:szCs w:val="8"/>
                <w:color w:val="auto"/>
              </w:rPr>
            </w:pPr>
          </w:p>
        </w:tc>
        <w:tc>
          <w:tcPr>
            <w:tcW w:w="74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December 31,</w:t>
            </w:r>
          </w:p>
        </w:tc>
        <w:tc>
          <w:tcPr>
            <w:tcW w:w="120" w:type="dxa"/>
            <w:vAlign w:val="bottom"/>
          </w:tcPr>
          <w:p>
            <w:pPr>
              <w:spacing w:after="0"/>
              <w:rPr>
                <w:sz w:val="8"/>
                <w:szCs w:val="8"/>
                <w:color w:val="auto"/>
              </w:rPr>
            </w:pPr>
          </w:p>
        </w:tc>
        <w:tc>
          <w:tcPr>
            <w:tcW w:w="720" w:type="dxa"/>
            <w:vAlign w:val="bottom"/>
          </w:tcPr>
          <w:p>
            <w:pPr>
              <w:jc w:val="center"/>
              <w:ind w:right="69"/>
              <w:spacing w:after="0" w:line="95" w:lineRule="exact"/>
              <w:rPr>
                <w:sz w:val="20"/>
                <w:szCs w:val="20"/>
                <w:color w:val="auto"/>
              </w:rPr>
            </w:pPr>
            <w:r>
              <w:rPr>
                <w:rFonts w:ascii="Arial" w:cs="Arial" w:eastAsia="Arial" w:hAnsi="Arial"/>
                <w:sz w:val="10"/>
                <w:szCs w:val="10"/>
                <w:b w:val="1"/>
                <w:bCs w:val="1"/>
                <w:color w:val="auto"/>
              </w:rPr>
              <w:t>to assets</w:t>
            </w:r>
          </w:p>
        </w:tc>
        <w:tc>
          <w:tcPr>
            <w:tcW w:w="0" w:type="dxa"/>
            <w:vAlign w:val="bottom"/>
          </w:tcPr>
          <w:p>
            <w:pPr>
              <w:spacing w:after="0"/>
              <w:rPr>
                <w:sz w:val="1"/>
                <w:szCs w:val="1"/>
                <w:color w:val="auto"/>
              </w:rPr>
            </w:pPr>
          </w:p>
        </w:tc>
      </w:tr>
      <w:tr>
        <w:trPr>
          <w:trHeight w:val="135"/>
        </w:trPr>
        <w:tc>
          <w:tcPr>
            <w:tcW w:w="184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680" w:type="dxa"/>
            <w:vAlign w:val="bottom"/>
          </w:tcPr>
          <w:p>
            <w:pPr>
              <w:jc w:val="center"/>
              <w:ind w:right="48"/>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in OCI</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20" w:type="dxa"/>
            <w:vAlign w:val="bottom"/>
          </w:tcPr>
          <w:p>
            <w:pPr>
              <w:spacing w:after="0"/>
              <w:rPr>
                <w:sz w:val="11"/>
                <w:szCs w:val="11"/>
                <w:color w:val="auto"/>
              </w:rPr>
            </w:pPr>
          </w:p>
        </w:tc>
        <w:tc>
          <w:tcPr>
            <w:tcW w:w="86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9"/>
              <w:spacing w:after="0"/>
              <w:rPr>
                <w:sz w:val="20"/>
                <w:szCs w:val="20"/>
                <w:color w:val="auto"/>
              </w:rPr>
            </w:pPr>
            <w:r>
              <w:rPr>
                <w:rFonts w:ascii="Arial" w:cs="Arial" w:eastAsia="Arial" w:hAnsi="Arial"/>
                <w:sz w:val="10"/>
                <w:szCs w:val="10"/>
                <w:b w:val="1"/>
                <w:bCs w:val="1"/>
                <w:color w:val="auto"/>
                <w:w w:val="98"/>
              </w:rPr>
              <w:t>still held</w:t>
            </w:r>
          </w:p>
        </w:tc>
        <w:tc>
          <w:tcPr>
            <w:tcW w:w="0" w:type="dxa"/>
            <w:vAlign w:val="bottom"/>
          </w:tcPr>
          <w:p>
            <w:pPr>
              <w:spacing w:after="0"/>
              <w:rPr>
                <w:sz w:val="1"/>
                <w:szCs w:val="1"/>
                <w:color w:val="auto"/>
              </w:rPr>
            </w:pPr>
          </w:p>
        </w:tc>
      </w:tr>
      <w:tr>
        <w:trPr>
          <w:trHeight w:val="135"/>
        </w:trPr>
        <w:tc>
          <w:tcPr>
            <w:tcW w:w="1840" w:type="dxa"/>
            <w:vAlign w:val="bottom"/>
            <w:tcBorders>
              <w:top w:val="single" w:sz="8" w:color="CCEEFF"/>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Fixed maturity securities:</w:t>
            </w: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tcPr>
          <w:p>
            <w:pPr>
              <w:ind w:left="140"/>
              <w:spacing w:after="0"/>
              <w:rPr>
                <w:sz w:val="20"/>
                <w:szCs w:val="20"/>
                <w:color w:val="auto"/>
              </w:rPr>
            </w:pPr>
            <w:r>
              <w:rPr>
                <w:rFonts w:ascii="Arial" w:cs="Arial" w:eastAsia="Arial" w:hAnsi="Arial"/>
                <w:sz w:val="11"/>
                <w:szCs w:val="11"/>
                <w:color w:val="auto"/>
              </w:rPr>
              <w:t>U.S. corporate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76,532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5,082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38,000</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(5,003)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(13,663)</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5,341</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(6,328)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Non-U.S. corporate</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65,534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5,594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6,500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3,015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(3,014)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0"/>
        </w:trPr>
        <w:tc>
          <w:tcPr>
            <w:tcW w:w="1840" w:type="dxa"/>
            <w:vAlign w:val="bottom"/>
          </w:tcPr>
          <w:p>
            <w:pPr>
              <w:ind w:left="140"/>
              <w:spacing w:after="0"/>
              <w:rPr>
                <w:sz w:val="20"/>
                <w:szCs w:val="20"/>
                <w:color w:val="auto"/>
              </w:rPr>
            </w:pPr>
            <w:r>
              <w:rPr>
                <w:rFonts w:ascii="Arial" w:cs="Arial" w:eastAsia="Arial" w:hAnsi="Arial"/>
                <w:sz w:val="11"/>
                <w:szCs w:val="11"/>
                <w:color w:val="auto"/>
              </w:rPr>
              <w:t>Other asset-backed</w:t>
            </w:r>
          </w:p>
        </w:tc>
        <w:tc>
          <w:tcPr>
            <w:tcW w:w="1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Arial" w:cs="Arial" w:eastAsia="Arial" w:hAnsi="Arial"/>
                <w:sz w:val="11"/>
                <w:szCs w:val="11"/>
                <w:color w:val="auto"/>
              </w:rPr>
              <w:t>3,930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16,797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145,996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11,166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61,297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(5,003)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8,356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(26,014)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181,089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5" w:right="339" w:bottom="1440" w:gutter="0" w:footer="0" w:header="0"/>
        </w:sectPr>
      </w:pPr>
    </w:p>
    <w:bookmarkStart w:id="226" w:name="page227"/>
    <w:bookmarkEnd w:id="22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included in net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Valuation technique</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(1)</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Unobservable input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Range (bps)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Weighted-average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0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$115,019</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66–133</w:t>
            </w:r>
          </w:p>
        </w:tc>
        <w:tc>
          <w:tcPr>
            <w:tcW w:w="1640" w:type="dxa"/>
            <w:vAlign w:val="bottom"/>
          </w:tcPr>
          <w:p>
            <w:pPr>
              <w:jc w:val="right"/>
              <w:ind w:right="639"/>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$52,004</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75–161</w:t>
            </w:r>
          </w:p>
        </w:tc>
        <w:tc>
          <w:tcPr>
            <w:tcW w:w="164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46" w:lineRule="auto"/>
        <w:tabs>
          <w:tab w:leader="none" w:pos="3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Certain classes of instruments classified as Level 3 are excluded as a result of not being material or due to limitations in being able to obtain the underlying inputs used by certain third-party sources, such as broker quotes, used as an input in determining fair value.</w:t>
      </w:r>
    </w:p>
    <w:p>
      <w:pPr>
        <w:ind w:left="320" w:hanging="312"/>
        <w:spacing w:after="0"/>
        <w:tabs>
          <w:tab w:leader="none" w:pos="3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Unobservable inputs weighted by the relative fair value of the associated instrument.</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Liabilities Not Required to Be Carried at Fair Value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provides fair value information for financial instruments that are reflected in the accompanying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our estimated fair value of financial liabilities not required to be carried at fair value, classified as Level 2,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30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5" w:right="339" w:bottom="1440" w:gutter="0" w:footer="0" w:header="0"/>
        </w:sectPr>
      </w:pPr>
    </w:p>
    <w:bookmarkStart w:id="227" w:name="page228"/>
    <w:bookmarkEnd w:id="22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Loss reserves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Activity for the liability for loss reserves is summarized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 beginning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paid related to 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paid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(110,301)</w:t>
            </w: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paid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(112,172)</w:t>
            </w:r>
          </w:p>
        </w:tc>
      </w:tr>
      <w:tr>
        <w:trPr>
          <w:trHeight w:val="237"/>
        </w:trPr>
        <w:tc>
          <w:tcPr>
            <w:tcW w:w="28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end of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Run-off reserves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reserves, end of year</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235,062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Losses and LAE incurred and paid exclude losses related to our run-off business.</w:t>
      </w:r>
    </w:p>
    <w:p>
      <w:pPr>
        <w:spacing w:after="0" w:line="16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losses and LAE incurred of $364.5 million related to insured events of the current accident year was primarily attributable to a significant increase in the number of new delinquencies driven mostly by borrower forbearance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 establishment of loss reserves. Loss reserves recorded on these new delinquencies have a high degree of estimation due to the level of uncertainty regarding whether delinquencies in forbearance will ultimately cure or result in claim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5" w:right="339" w:bottom="1440" w:gutter="0" w:footer="0" w:header="0"/>
        </w:sectPr>
      </w:pPr>
    </w:p>
    <w:bookmarkStart w:id="228" w:name="page229"/>
    <w:bookmarkEnd w:id="22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2020, we experienced unfavorable reserve development of $16.2 million in incurred losses attributable to prior years, primarily from higher expected claim rates due to economic conditions occurring in the COVID-19 environment. Included within this increase to incurred losses attributable to prior years, we recorded $28.4 million in unfavorable reserves adjustments, primarily associated with higher expected, future claim rates, partially offset by a $12.2 million decrease, primarily due to higher than expected delinquency cures.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2019, we experienced favorable reserve development of $55.9 million in incurred losses attributable to prior years, primarily from lower actual and expected claim rates due to improvements in the overall housing market. Included within these reductions to incurred losses attributable to prior years, we recorded $22.7 million favorable reserves adjustments in 2019, primarily associated with lower expected claim rates. The remaining reduction of $33.2 million in 2019 was primarily the result of higher than expected delinquency cures.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information about incurred claims, as well as cumulative number of reported delinquencies and the total of incurred-but-not-reported (“IBNR”) liabilities plus expected development on reported claims included within the net incurred claims as of December 31, 2020. The information about the incurred claims development for the years ended December 31, 2011 to 2019, is presented as supplementary information.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80" w:type="dxa"/>
            <w:vAlign w:val="bottom"/>
            <w:gridSpan w:val="11"/>
            <w:vMerge w:val="restart"/>
          </w:tcPr>
          <w:p>
            <w:pPr>
              <w:jc w:val="center"/>
              <w:spacing w:after="0"/>
              <w:rPr>
                <w:sz w:val="20"/>
                <w:szCs w:val="20"/>
                <w:color w:val="auto"/>
              </w:rPr>
            </w:pPr>
            <w:r>
              <w:rPr>
                <w:rFonts w:ascii="Arial" w:cs="Arial" w:eastAsia="Arial" w:hAnsi="Arial"/>
                <w:sz w:val="11"/>
                <w:szCs w:val="11"/>
                <w:b w:val="1"/>
                <w:bCs w:val="1"/>
                <w:color w:val="auto"/>
                <w:w w:val="97"/>
              </w:rPr>
              <w:t xml:space="preserve">Incurred claims and allocated loss adjustment expenses, net of reinsurance </w:t>
            </w:r>
            <w:r>
              <w:rPr>
                <w:rFonts w:ascii="Arial" w:cs="Arial" w:eastAsia="Arial" w:hAnsi="Arial"/>
                <w:sz w:val="14"/>
                <w:szCs w:val="14"/>
                <w:b w:val="1"/>
                <w:bCs w:val="1"/>
                <w:color w:val="auto"/>
                <w:w w:val="97"/>
                <w:vertAlign w:val="superscript"/>
              </w:rPr>
              <w:t>(2)</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7"/>
              </w:rPr>
              <w:t>Total IBNR liabilities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thousands)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80" w:type="dxa"/>
            <w:vAlign w:val="bottom"/>
            <w:gridSpan w:val="11"/>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tcPr>
          <w:p>
            <w:pPr>
              <w:jc w:val="center"/>
              <w:spacing w:after="0" w:line="61" w:lineRule="exact"/>
              <w:rPr>
                <w:sz w:val="20"/>
                <w:szCs w:val="20"/>
                <w:color w:val="auto"/>
              </w:rPr>
            </w:pPr>
            <w:r>
              <w:rPr>
                <w:rFonts w:ascii="Arial" w:cs="Arial" w:eastAsia="Arial" w:hAnsi="Arial"/>
                <w:sz w:val="6"/>
                <w:szCs w:val="6"/>
                <w:b w:val="1"/>
                <w:bCs w:val="1"/>
                <w:color w:val="auto"/>
              </w:rPr>
              <w:t>including expected</w:t>
            </w: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8"/>
              </w:rPr>
              <w:t>For the years ended December 31,</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9"/>
              </w:rPr>
              <w:t>development on</w:t>
            </w: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0" w:type="dxa"/>
            <w:vAlign w:val="bottom"/>
          </w:tcPr>
          <w:p>
            <w:pPr>
              <w:spacing w:after="0"/>
              <w:rPr>
                <w:sz w:val="1"/>
                <w:szCs w:val="1"/>
                <w:color w:val="auto"/>
              </w:rPr>
            </w:pPr>
          </w:p>
        </w:tc>
      </w:tr>
      <w:tr>
        <w:trPr>
          <w:trHeight w:val="54"/>
        </w:trPr>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Accident</w:t>
            </w: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 claims as</w:t>
            </w:r>
          </w:p>
        </w:tc>
        <w:tc>
          <w:tcPr>
            <w:tcW w:w="100" w:type="dxa"/>
            <w:vAlign w:val="bottom"/>
            <w:vMerge w:val="restart"/>
          </w:tcPr>
          <w:p>
            <w:pPr>
              <w:spacing w:after="0"/>
              <w:rPr>
                <w:sz w:val="4"/>
                <w:szCs w:val="4"/>
                <w:color w:val="auto"/>
              </w:rPr>
            </w:pPr>
          </w:p>
        </w:tc>
        <w:tc>
          <w:tcPr>
            <w:tcW w:w="108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w:t>
            </w:r>
          </w:p>
        </w:tc>
        <w:tc>
          <w:tcPr>
            <w:tcW w:w="0" w:type="dxa"/>
            <w:vAlign w:val="bottom"/>
          </w:tcPr>
          <w:p>
            <w:pPr>
              <w:spacing w:after="0"/>
              <w:rPr>
                <w:sz w:val="1"/>
                <w:szCs w:val="1"/>
                <w:color w:val="auto"/>
              </w:rPr>
            </w:pPr>
          </w:p>
        </w:tc>
      </w:tr>
      <w:tr>
        <w:trPr>
          <w:trHeight w:val="21"/>
        </w:trPr>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2012</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9"/>
                <w:szCs w:val="9"/>
                <w:color w:val="auto"/>
              </w:rPr>
            </w:pPr>
          </w:p>
        </w:tc>
        <w:tc>
          <w:tcPr>
            <w:tcW w:w="5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2014</w:t>
            </w:r>
          </w:p>
        </w:tc>
        <w:tc>
          <w:tcPr>
            <w:tcW w:w="180" w:type="dxa"/>
            <w:vAlign w:val="bottom"/>
          </w:tcPr>
          <w:p>
            <w:pPr>
              <w:spacing w:after="0"/>
              <w:rPr>
                <w:sz w:val="9"/>
                <w:szCs w:val="9"/>
                <w:color w:val="auto"/>
              </w:rPr>
            </w:pPr>
          </w:p>
        </w:tc>
        <w:tc>
          <w:tcPr>
            <w:tcW w:w="6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2015</w:t>
            </w:r>
          </w:p>
        </w:tc>
        <w:tc>
          <w:tcPr>
            <w:tcW w:w="22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9"/>
                <w:szCs w:val="9"/>
                <w:color w:val="auto"/>
              </w:rPr>
            </w:pPr>
          </w:p>
        </w:tc>
        <w:tc>
          <w:tcPr>
            <w:tcW w:w="5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2017</w:t>
            </w:r>
          </w:p>
        </w:tc>
        <w:tc>
          <w:tcPr>
            <w:tcW w:w="22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of December 31,</w:t>
            </w:r>
          </w:p>
        </w:tc>
        <w:tc>
          <w:tcPr>
            <w:tcW w:w="10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5"/>
              </w:rPr>
              <w:t>delin-</w:t>
            </w:r>
          </w:p>
        </w:tc>
        <w:tc>
          <w:tcPr>
            <w:tcW w:w="0" w:type="dxa"/>
            <w:vAlign w:val="bottom"/>
          </w:tcPr>
          <w:p>
            <w:pPr>
              <w:spacing w:after="0"/>
              <w:rPr>
                <w:sz w:val="1"/>
                <w:szCs w:val="1"/>
                <w:color w:val="auto"/>
              </w:rPr>
            </w:pPr>
          </w:p>
        </w:tc>
      </w:tr>
      <w:tr>
        <w:trPr>
          <w:trHeight w:val="162"/>
        </w:trPr>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 xml:space="preserve">year </w:t>
            </w:r>
            <w:r>
              <w:rPr>
                <w:rFonts w:ascii="Arial" w:cs="Arial" w:eastAsia="Arial" w:hAnsi="Arial"/>
                <w:sz w:val="14"/>
                <w:szCs w:val="14"/>
                <w:b w:val="1"/>
                <w:bCs w:val="1"/>
                <w:color w:val="auto"/>
                <w:vertAlign w:val="superscript"/>
              </w:rPr>
              <w:t>(1)</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6"/>
              </w:rPr>
              <w:t xml:space="preserve">quencies </w:t>
            </w:r>
            <w:r>
              <w:rPr>
                <w:rFonts w:ascii="Arial" w:cs="Arial" w:eastAsia="Arial" w:hAnsi="Arial"/>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35"/>
        </w:trPr>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2"/>
              </w:rPr>
              <w:t>Unaudited</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909,973</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930,551</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912,975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929,309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937,647</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938,802</w:t>
            </w:r>
          </w:p>
        </w:tc>
        <w:tc>
          <w:tcPr>
            <w:tcW w:w="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939,275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938,513</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938,232</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938,816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69,314</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717,871</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675,230</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670,773</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673,660</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671,492</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668,452</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666,673</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665,775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666,351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48,575</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475,120</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407,106</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391,523</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386,794</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383,366</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382,231</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380,949</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381,546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34,412</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327,857</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287,865</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268,980</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260,752</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258,872</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258,172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259,006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127</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26,726</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235,251</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208,149</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186,077</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180,923</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179,650</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179,599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21,724</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198,121</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161,041</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138,784</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136,381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136,754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612</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19,158</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170,713</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120,568</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101,755</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105,079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1,204</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19,497</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116,842</w:t>
            </w:r>
          </w:p>
        </w:tc>
        <w:tc>
          <w:tcPr>
            <w:tcW w:w="2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83,959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84,138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977</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14,779</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105,734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111,089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300</w:t>
            </w:r>
          </w:p>
        </w:tc>
        <w:tc>
          <w:tcPr>
            <w:tcW w:w="11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15,710</w:t>
            </w:r>
          </w:p>
        </w:tc>
        <w:tc>
          <w:tcPr>
            <w:tcW w:w="0" w:type="dxa"/>
            <w:vAlign w:val="bottom"/>
          </w:tcPr>
          <w:p>
            <w:pPr>
              <w:spacing w:after="0"/>
              <w:rPr>
                <w:sz w:val="1"/>
                <w:szCs w:val="1"/>
                <w:color w:val="auto"/>
              </w:rPr>
            </w:pPr>
          </w:p>
        </w:tc>
      </w:tr>
      <w:tr>
        <w:trPr>
          <w:trHeight w:val="140"/>
        </w:trPr>
        <w:tc>
          <w:tcPr>
            <w:tcW w:w="860" w:type="dxa"/>
            <w:vAlign w:val="bottom"/>
          </w:tcPr>
          <w:p>
            <w:pPr>
              <w:ind w:left="20"/>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364,547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19,073</w:t>
            </w:r>
          </w:p>
        </w:tc>
        <w:tc>
          <w:tcPr>
            <w:tcW w:w="1180" w:type="dxa"/>
            <w:vAlign w:val="bottom"/>
            <w:gridSpan w:val="2"/>
          </w:tcPr>
          <w:p>
            <w:pPr>
              <w:jc w:val="right"/>
              <w:ind w:right="7"/>
              <w:spacing w:after="0"/>
              <w:rPr>
                <w:sz w:val="20"/>
                <w:szCs w:val="20"/>
                <w:color w:val="auto"/>
              </w:rPr>
            </w:pPr>
            <w:r>
              <w:rPr>
                <w:rFonts w:ascii="Arial" w:cs="Arial" w:eastAsia="Arial" w:hAnsi="Arial"/>
                <w:sz w:val="11"/>
                <w:szCs w:val="11"/>
                <w:color w:val="auto"/>
              </w:rPr>
              <w:t>38,863</w:t>
            </w:r>
          </w:p>
        </w:tc>
        <w:tc>
          <w:tcPr>
            <w:tcW w:w="0" w:type="dxa"/>
            <w:vAlign w:val="bottom"/>
          </w:tcPr>
          <w:p>
            <w:pPr>
              <w:spacing w:after="0"/>
              <w:rPr>
                <w:sz w:val="1"/>
                <w:szCs w:val="1"/>
                <w:color w:val="auto"/>
              </w:rPr>
            </w:pPr>
          </w:p>
        </w:tc>
      </w:tr>
      <w:tr>
        <w:trPr>
          <w:trHeight w:val="22"/>
        </w:trPr>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incurred</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3,226,925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22,810</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Excludes incurred claims and allocated LAE related to run-off business.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Represents reported and outstanding delinquencies less actual cures as of December 31 for each respective accident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5" w:right="339" w:bottom="1440" w:gutter="0" w:footer="0" w:header="0"/>
        </w:sectPr>
      </w:pPr>
    </w:p>
    <w:bookmarkStart w:id="229" w:name="page230"/>
    <w:bookmarkEnd w:id="22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2020, and a reconciliation to our total loss reserves as of December 31, 2020. The information about paid claims development for the years ended December 31, 2011 to 2019, is presented as supplementary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0" w:type="dxa"/>
            <w:vAlign w:val="bottom"/>
            <w:gridSpan w:val="11"/>
            <w:vMerge w:val="restart"/>
          </w:tcPr>
          <w:p>
            <w:pPr>
              <w:jc w:val="right"/>
              <w:ind w:right="506"/>
              <w:spacing w:after="0"/>
              <w:rPr>
                <w:sz w:val="20"/>
                <w:szCs w:val="20"/>
                <w:color w:val="auto"/>
              </w:rPr>
            </w:pPr>
            <w:r>
              <w:rPr>
                <w:rFonts w:ascii="Arial" w:cs="Arial" w:eastAsia="Arial" w:hAnsi="Arial"/>
                <w:sz w:val="11"/>
                <w:szCs w:val="11"/>
                <w:b w:val="1"/>
                <w:bCs w:val="1"/>
                <w:color w:val="auto"/>
              </w:rPr>
              <w:t xml:space="preserve">Cumulative paid claims and allocated claim adjustment expenses, net of reinsurance </w:t>
            </w:r>
            <w:r>
              <w:rPr>
                <w:rFonts w:ascii="Arial" w:cs="Arial" w:eastAsia="Arial" w:hAnsi="Arial"/>
                <w:sz w:val="14"/>
                <w:szCs w:val="14"/>
                <w:b w:val="1"/>
                <w:bCs w:val="1"/>
                <w:color w:val="auto"/>
                <w:vertAlign w:val="superscript"/>
              </w:rPr>
              <w:t>(2)</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gridSpan w:val="11"/>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For the years ended December 31,</w:t>
            </w: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 xml:space="preserve">Accident year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2011</w:t>
            </w:r>
          </w:p>
        </w:tc>
        <w:tc>
          <w:tcPr>
            <w:tcW w:w="240" w:type="dxa"/>
            <w:vAlign w:val="bottom"/>
          </w:tcPr>
          <w:p>
            <w:pPr>
              <w:spacing w:after="0"/>
              <w:rPr>
                <w:sz w:val="15"/>
                <w:szCs w:val="15"/>
                <w:color w:val="auto"/>
              </w:rPr>
            </w:pPr>
          </w:p>
        </w:tc>
        <w:tc>
          <w:tcPr>
            <w:tcW w:w="700" w:type="dxa"/>
            <w:vAlign w:val="bottom"/>
          </w:tcPr>
          <w:p>
            <w:pPr>
              <w:jc w:val="right"/>
              <w:ind w:right="286"/>
              <w:spacing w:after="0"/>
              <w:rPr>
                <w:sz w:val="20"/>
                <w:szCs w:val="20"/>
                <w:color w:val="auto"/>
              </w:rPr>
            </w:pPr>
            <w:r>
              <w:rPr>
                <w:rFonts w:ascii="Arial" w:cs="Arial" w:eastAsia="Arial" w:hAnsi="Arial"/>
                <w:sz w:val="11"/>
                <w:szCs w:val="11"/>
                <w:b w:val="1"/>
                <w:bCs w:val="1"/>
                <w:color w:val="auto"/>
              </w:rPr>
              <w:t>2012</w:t>
            </w:r>
          </w:p>
        </w:tc>
        <w:tc>
          <w:tcPr>
            <w:tcW w:w="26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2013</w:t>
            </w:r>
          </w:p>
        </w:tc>
        <w:tc>
          <w:tcPr>
            <w:tcW w:w="260" w:type="dxa"/>
            <w:vAlign w:val="bottom"/>
          </w:tcPr>
          <w:p>
            <w:pPr>
              <w:spacing w:after="0"/>
              <w:rPr>
                <w:sz w:val="15"/>
                <w:szCs w:val="15"/>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2014</w:t>
            </w:r>
          </w:p>
        </w:tc>
        <w:tc>
          <w:tcPr>
            <w:tcW w:w="200" w:type="dxa"/>
            <w:vAlign w:val="bottom"/>
          </w:tcPr>
          <w:p>
            <w:pPr>
              <w:spacing w:after="0"/>
              <w:rPr>
                <w:sz w:val="15"/>
                <w:szCs w:val="15"/>
                <w:color w:val="auto"/>
              </w:rPr>
            </w:pPr>
          </w:p>
        </w:tc>
        <w:tc>
          <w:tcPr>
            <w:tcW w:w="740" w:type="dxa"/>
            <w:vAlign w:val="bottom"/>
          </w:tcPr>
          <w:p>
            <w:pPr>
              <w:jc w:val="right"/>
              <w:ind w:right="266"/>
              <w:spacing w:after="0"/>
              <w:rPr>
                <w:sz w:val="20"/>
                <w:szCs w:val="20"/>
                <w:color w:val="auto"/>
              </w:rPr>
            </w:pPr>
            <w:r>
              <w:rPr>
                <w:rFonts w:ascii="Arial" w:cs="Arial" w:eastAsia="Arial" w:hAnsi="Arial"/>
                <w:sz w:val="11"/>
                <w:szCs w:val="11"/>
                <w:b w:val="1"/>
                <w:bCs w:val="1"/>
                <w:color w:val="auto"/>
              </w:rPr>
              <w:t>2015</w:t>
            </w:r>
          </w:p>
        </w:tc>
        <w:tc>
          <w:tcPr>
            <w:tcW w:w="260" w:type="dxa"/>
            <w:vAlign w:val="bottom"/>
          </w:tcPr>
          <w:p>
            <w:pPr>
              <w:spacing w:after="0"/>
              <w:rPr>
                <w:sz w:val="15"/>
                <w:szCs w:val="15"/>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2016</w:t>
            </w:r>
          </w:p>
        </w:tc>
        <w:tc>
          <w:tcPr>
            <w:tcW w:w="240" w:type="dxa"/>
            <w:vAlign w:val="bottom"/>
          </w:tcPr>
          <w:p>
            <w:pPr>
              <w:spacing w:after="0"/>
              <w:rPr>
                <w:sz w:val="15"/>
                <w:szCs w:val="15"/>
                <w:color w:val="auto"/>
              </w:rPr>
            </w:pPr>
          </w:p>
        </w:tc>
        <w:tc>
          <w:tcPr>
            <w:tcW w:w="680" w:type="dxa"/>
            <w:vAlign w:val="bottom"/>
          </w:tcPr>
          <w:p>
            <w:pPr>
              <w:jc w:val="right"/>
              <w:ind w:right="286"/>
              <w:spacing w:after="0"/>
              <w:rPr>
                <w:sz w:val="20"/>
                <w:szCs w:val="20"/>
                <w:color w:val="auto"/>
              </w:rPr>
            </w:pPr>
            <w:r>
              <w:rPr>
                <w:rFonts w:ascii="Arial" w:cs="Arial" w:eastAsia="Arial" w:hAnsi="Arial"/>
                <w:sz w:val="11"/>
                <w:szCs w:val="11"/>
                <w:b w:val="1"/>
                <w:bCs w:val="1"/>
                <w:color w:val="auto"/>
              </w:rPr>
              <w:t>2017</w:t>
            </w:r>
          </w:p>
        </w:tc>
        <w:tc>
          <w:tcPr>
            <w:tcW w:w="260" w:type="dxa"/>
            <w:vAlign w:val="bottom"/>
          </w:tcPr>
          <w:p>
            <w:pPr>
              <w:spacing w:after="0"/>
              <w:rPr>
                <w:sz w:val="15"/>
                <w:szCs w:val="15"/>
                <w:color w:val="auto"/>
              </w:rPr>
            </w:pPr>
          </w:p>
        </w:tc>
        <w:tc>
          <w:tcPr>
            <w:tcW w:w="680" w:type="dxa"/>
            <w:vAlign w:val="bottom"/>
          </w:tcPr>
          <w:p>
            <w:pPr>
              <w:jc w:val="right"/>
              <w:ind w:right="266"/>
              <w:spacing w:after="0"/>
              <w:rPr>
                <w:sz w:val="20"/>
                <w:szCs w:val="20"/>
                <w:color w:val="auto"/>
              </w:rPr>
            </w:pPr>
            <w:r>
              <w:rPr>
                <w:rFonts w:ascii="Arial" w:cs="Arial" w:eastAsia="Arial" w:hAnsi="Arial"/>
                <w:sz w:val="11"/>
                <w:szCs w:val="11"/>
                <w:b w:val="1"/>
                <w:bCs w:val="1"/>
                <w:color w:val="auto"/>
              </w:rPr>
              <w:t>2018</w:t>
            </w:r>
          </w:p>
        </w:tc>
        <w:tc>
          <w:tcPr>
            <w:tcW w:w="260" w:type="dxa"/>
            <w:vAlign w:val="bottom"/>
          </w:tcPr>
          <w:p>
            <w:pPr>
              <w:spacing w:after="0"/>
              <w:rPr>
                <w:sz w:val="15"/>
                <w:szCs w:val="15"/>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1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Unaudited</w:t>
            </w: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2011</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65,370</w:t>
            </w:r>
          </w:p>
        </w:tc>
        <w:tc>
          <w:tcPr>
            <w:tcW w:w="2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496,623</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721,879</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815,610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874,509</w:t>
            </w:r>
          </w:p>
        </w:tc>
        <w:tc>
          <w:tcPr>
            <w:tcW w:w="2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906,028</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926,518</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934,632</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937,397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938,517</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92,445</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390,527</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532,768</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601,530</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634,301</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650,031</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658,438</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661,974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663,088</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44,334</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202,095</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297,029</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340,031</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361,973</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372,374</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375,243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376,138</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21,494</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126,404</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195,461</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232,502</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246,963</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252,549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254,218</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12,688</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84,706</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145,362</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167,458</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172,825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174,561</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9,593</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63,585</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109,793</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123,800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126,893</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5,733</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45,879</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77,297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87,272</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3,134</w:t>
            </w:r>
          </w:p>
        </w:tc>
        <w:tc>
          <w:tcPr>
            <w:tcW w:w="2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31,625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48,183</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17,595</w:t>
            </w:r>
          </w:p>
        </w:tc>
        <w:tc>
          <w:tcPr>
            <w:tcW w:w="0" w:type="dxa"/>
            <w:vAlign w:val="bottom"/>
          </w:tcPr>
          <w:p>
            <w:pPr>
              <w:spacing w:after="0"/>
              <w:rPr>
                <w:sz w:val="1"/>
                <w:szCs w:val="1"/>
                <w:color w:val="auto"/>
              </w:rPr>
            </w:pPr>
          </w:p>
        </w:tc>
      </w:tr>
      <w:tr>
        <w:trPr>
          <w:trHeight w:val="140"/>
        </w:trPr>
        <w:tc>
          <w:tcPr>
            <w:tcW w:w="1780" w:type="dxa"/>
            <w:vAlign w:val="bottom"/>
          </w:tcPr>
          <w:p>
            <w:pPr>
              <w:ind w:left="20"/>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1,104</w:t>
            </w:r>
          </w:p>
        </w:tc>
        <w:tc>
          <w:tcPr>
            <w:tcW w:w="0" w:type="dxa"/>
            <w:vAlign w:val="bottom"/>
          </w:tcPr>
          <w:p>
            <w:pPr>
              <w:spacing w:after="0"/>
              <w:rPr>
                <w:sz w:val="1"/>
                <w:szCs w:val="1"/>
                <w:color w:val="auto"/>
              </w:rPr>
            </w:pPr>
          </w:p>
        </w:tc>
      </w:tr>
      <w:tr>
        <w:trPr>
          <w:trHeight w:val="22"/>
        </w:trPr>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paid</w:t>
            </w: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2,687,569</w:t>
            </w:r>
          </w:p>
        </w:tc>
        <w:tc>
          <w:tcPr>
            <w:tcW w:w="0" w:type="dxa"/>
            <w:vAlign w:val="bottom"/>
          </w:tcPr>
          <w:p>
            <w:pPr>
              <w:spacing w:after="0"/>
              <w:rPr>
                <w:sz w:val="1"/>
                <w:szCs w:val="1"/>
                <w:color w:val="auto"/>
              </w:rPr>
            </w:pPr>
          </w:p>
        </w:tc>
      </w:tr>
      <w:tr>
        <w:trPr>
          <w:trHeight w:val="133"/>
        </w:trPr>
        <w:tc>
          <w:tcPr>
            <w:tcW w:w="1880" w:type="dxa"/>
            <w:vAlign w:val="bottom"/>
            <w:gridSpan w:val="2"/>
          </w:tcPr>
          <w:p>
            <w:pPr>
              <w:ind w:left="20"/>
              <w:spacing w:after="0"/>
              <w:rPr>
                <w:sz w:val="20"/>
                <w:szCs w:val="20"/>
                <w:color w:val="auto"/>
              </w:rPr>
            </w:pPr>
            <w:r>
              <w:rPr>
                <w:rFonts w:ascii="Arial" w:cs="Arial" w:eastAsia="Arial" w:hAnsi="Arial"/>
                <w:sz w:val="11"/>
                <w:szCs w:val="11"/>
                <w:color w:val="auto"/>
              </w:rPr>
              <w:t>Total incurred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3,226,925</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paid</w:t>
            </w: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2,687,569</w:t>
            </w:r>
          </w:p>
        </w:tc>
        <w:tc>
          <w:tcPr>
            <w:tcW w:w="0" w:type="dxa"/>
            <w:vAlign w:val="bottom"/>
          </w:tcPr>
          <w:p>
            <w:pPr>
              <w:spacing w:after="0"/>
              <w:rPr>
                <w:sz w:val="1"/>
                <w:szCs w:val="1"/>
                <w:color w:val="auto"/>
              </w:rPr>
            </w:pPr>
          </w:p>
        </w:tc>
      </w:tr>
      <w:tr>
        <w:trPr>
          <w:trHeight w:val="140"/>
        </w:trPr>
        <w:tc>
          <w:tcPr>
            <w:tcW w:w="2760" w:type="dxa"/>
            <w:vAlign w:val="bottom"/>
            <w:gridSpan w:val="4"/>
          </w:tcPr>
          <w:p>
            <w:pPr>
              <w:ind w:left="20"/>
              <w:spacing w:after="0"/>
              <w:rPr>
                <w:sz w:val="20"/>
                <w:szCs w:val="20"/>
                <w:color w:val="auto"/>
              </w:rPr>
            </w:pPr>
            <w:r>
              <w:rPr>
                <w:rFonts w:ascii="Arial" w:cs="Arial" w:eastAsia="Arial" w:hAnsi="Arial"/>
                <w:sz w:val="11"/>
                <w:szCs w:val="11"/>
                <w:color w:val="auto"/>
                <w:w w:val="99"/>
              </w:rPr>
              <w:t>All outstanding liabilities before 2011, net of reinsurance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15,669</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Run-off reserves</w:t>
            </w: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55"/>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loss reserves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555,679</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Excludes cumulative paid claims and allocated claim adjustment expenses related to run-off business.</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sets forth our average payout of incurred claims by age as of December 31, 2020: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09"/>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Years</w:t>
            </w: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w:t>
            </w:r>
          </w:p>
        </w:tc>
      </w:tr>
      <w:tr>
        <w:trPr>
          <w:trHeight w:val="204"/>
        </w:trPr>
        <w:tc>
          <w:tcPr>
            <w:tcW w:w="2020" w:type="dxa"/>
            <w:vAlign w:val="bottom"/>
          </w:tcPr>
          <w:p>
            <w:pPr>
              <w:ind w:left="20"/>
              <w:spacing w:after="0"/>
              <w:rPr>
                <w:sz w:val="20"/>
                <w:szCs w:val="20"/>
                <w:color w:val="auto"/>
              </w:rPr>
            </w:pPr>
            <w:r>
              <w:rPr>
                <w:rFonts w:ascii="Arial" w:cs="Arial" w:eastAsia="Arial" w:hAnsi="Arial"/>
                <w:sz w:val="16"/>
                <w:szCs w:val="16"/>
                <w:color w:val="auto"/>
              </w:rPr>
              <w:t>Percentage of payout</w:t>
            </w:r>
          </w:p>
        </w:tc>
        <w:tc>
          <w:tcPr>
            <w:tcW w:w="820" w:type="dxa"/>
            <w:vAlign w:val="bottom"/>
          </w:tcPr>
          <w:p>
            <w:pPr>
              <w:ind w:left="400"/>
              <w:spacing w:after="0"/>
              <w:rPr>
                <w:sz w:val="20"/>
                <w:szCs w:val="20"/>
                <w:color w:val="auto"/>
              </w:rPr>
            </w:pPr>
            <w:r>
              <w:rPr>
                <w:rFonts w:ascii="Arial" w:cs="Arial" w:eastAsia="Arial" w:hAnsi="Arial"/>
                <w:sz w:val="16"/>
                <w:szCs w:val="16"/>
                <w:color w:val="auto"/>
                <w:w w:val="97"/>
              </w:rPr>
              <w:t>6.6 %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26.8 %</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0.5 %</w:t>
            </w:r>
          </w:p>
        </w:tc>
        <w:tc>
          <w:tcPr>
            <w:tcW w:w="10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42"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5" w:right="339" w:bottom="1440" w:gutter="0" w:footer="0" w:header="0"/>
        </w:sectPr>
      </w:pPr>
    </w:p>
    <w:bookmarkStart w:id="230" w:name="page231"/>
    <w:bookmarkEnd w:id="23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943,504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840,086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premiums written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818,646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premiums earned: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878,416</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premiums earned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971,365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856,976</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difference of $76.5 million between written premiums of $894.9 million and earned premiums of $971.4 million represents the decrease in unearned premiums for the year ended December 31, 2020. The decrease in unearned premiums was mainly the result of an increase in policy cancellations in our single premium mortgage insurance product driven by low interest rates and higher mortgage refinancing which resulted in lower persistency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Insurance-linked notes excess of loss reinsurance treaties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22, 2020, we obtained $349.6 million of excess of loss reinsurance coverage from Triangle Re 2020-1 on a portfolio of existing mortgage insurance policies written from January 2020 through August 2020. In connection with entering into the reinsurance agreement with Triangle Re 2020-1, we concluded that the risk transfer requirements for reinsurance accounting were met as Triangle Re 2020-1 is assuming significant insurance risk and a reasonable possibility of significant loss. For the reinsurance coverage, we retain the first layer of aggregate losses up to $521.8 million. Triangle Re 2020-1 provides 67.0% reinsurance coverage for losses above our retained first layer up to $349.6 million.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November 25, 2019, we obtained $302.8 million of excess of loss reinsurance coverage with Triangle Re 2019-1, on a portfolio of existing mortgage insurance policies written from January 2019 through September 2019. In connection with entering into the reinsurance agreement with Triangle Re 2019-1, we concluded that the risk transfer requirements for reinsurance accounting were met as Triangle Re 2019-1 is assuming significant insurance risk and a reasonable possibility of significant loss. For the reinsurance coverage, we retain the first layer of aggregate losses up to $237.7 million. Triangle Re 2019-1 provides 63.7% reinsurance coverage for losses above our retained first layer up to $302.8 million.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excess of loss reinsurance treaties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January 1, 2020, we executed an excess of loss reinsurance transaction with a panel of reinsurers covering a portion of the loss tier on the then current and expected new insurance written for the 2020 book year. We also entered into excess of loss reinsurance agreements with other external panels of reinsurers covering our 2016 through 2019 books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5" w:right="339" w:bottom="1440" w:gutter="0" w:footer="0" w:header="0"/>
        </w:sectPr>
      </w:pPr>
    </w:p>
    <w:bookmarkStart w:id="231" w:name="page232"/>
    <w:bookmarkEnd w:id="23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$750 million in aggregate principal amount of 6.5% senior notes due in 2025. We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committed to retain $300 million of the net proceeds from the issuance of these notes that can be drawn down exclusively for our debt service or to contribute to GMICO to meet its regulatory capital needs.</w:t>
      </w:r>
    </w:p>
    <w:p>
      <w:pPr>
        <w:spacing w:after="0" w:line="122"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Income before income taxes and change in fair value of unconsolidated affiliate of $472.4 million and $718.2 million in 2020 and 2019, respectively, was domestic.</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federal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federal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federal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152,186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state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state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current income taxes receivable of $5.4 million and $41.1 million as of December 31, 2020 and 2019.</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paid federal taxes of $55.4 million and state taxes of $ 1.6 million for the year ended December 31, 2020, and paid federal taxes of $166.2 million and state taxes of $0.3 million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5" w:right="339" w:bottom="1440" w:gutter="0" w:footer="0" w:header="0"/>
        </w:sectPr>
      </w:pPr>
    </w:p>
    <w:bookmarkStart w:id="232" w:name="page233"/>
    <w:bookmarkEnd w:id="23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reconciliation of the federal statutory tax rate to the effective income tax rate was as follows for the years ended December 31:</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Statutory U.S.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i w:val="1"/>
          <w:iCs w:val="1"/>
          <w:color w:val="auto"/>
        </w:rPr>
        <w:t>Increase (reduction) in rate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income tax, net of federal income tax effect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Effective rate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“Other, net” is comprised primarily of prior year true-ups.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2020</w:t>
      </w:r>
    </w:p>
    <w:p>
      <w:pPr>
        <w:spacing w:after="0" w:line="5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21.0 %</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0.4</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0.2</w:t>
      </w:r>
    </w:p>
    <w:p>
      <w:pPr>
        <w:spacing w:after="0" w:line="1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21.6 %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45720</wp:posOffset>
            </wp:positionV>
            <wp:extent cx="1071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w:t>
      </w:r>
    </w:p>
    <w:p>
      <w:pPr>
        <w:spacing w:after="0" w:line="5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21.0 %</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0.4</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0.3</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21.7 %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45720</wp:posOffset>
            </wp:positionV>
            <wp:extent cx="10801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46" w:lineRule="exact"/>
        <w:rPr>
          <w:sz w:val="20"/>
          <w:szCs w:val="20"/>
          <w:color w:val="auto"/>
        </w:rPr>
      </w:pPr>
    </w:p>
    <w:p>
      <w:pPr>
        <w:sectPr>
          <w:pgSz w:w="11900" w:h="16838" w:orient="portrait"/>
          <w:cols w:equalWidth="0" w:num="3">
            <w:col w:w="7720" w:space="720"/>
            <w:col w:w="1060" w:space="720"/>
            <w:col w:w="1020"/>
          </w:cols>
          <w:pgMar w:left="320" w:top="225"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Accrued commissions and general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 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Capital loss carry forwards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premium and loss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Gross deferred income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61,197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55,093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deferred income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52,122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asset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above valuation allowance of $6.4 million and $6.1 million as of December 31, 2020 and 2019, respectively, related to state deferred tax assets. The state deferred tax assets related primarily to the future deductions associated with non-insurance and insurance net operating loss (“NOL”) carryforwards.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U.S. federal NOL carryforwards amounted to $4.0 million as of December 31, 2020, and, if unused, will expire beginning in 2032. The benefits of the NOL carryforwards have been recognized in our consolidated financial statements.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ability to realize our total deferred income tax assets of $45.6 million as of December 31, 2020, which includes deferred tax assets related to NOL carryforwards, is primarily dependent upon generating sufficient taxable income in future years. Management has concluded that there is sufficient positive evidence to support the expected realization of the net operating losses. This positive evidence includes the fact that: (i) We are currently in a cumulative three-year income position; (ii) Our U.S. operating forecasts are profitable; and (iii) We are able to generate capital gains if needed. After consideration of all available evidence, we have concluded that it is more likely than not that our deferred tax assets,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5" w:right="339" w:bottom="1440" w:gutter="0" w:footer="0" w:header="0"/>
          <w:type w:val="continuous"/>
        </w:sectPr>
      </w:pPr>
    </w:p>
    <w:bookmarkStart w:id="233" w:name="page234"/>
    <w:bookmarkEnd w:id="23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amount of unrecognized tax benefits was $0 as of December 31, 2020 and 2019.</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recognize accrued interest and penalties related to unrecognized tax benefits as components of the provision for income taxes. We have recorded $0 of benefits related to interest and penalties for 2020 and 2019.</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previously discussed, we have elected to participate in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With possible exceptions, we are no longer subject to U.S. federal tax examinations for years through 2016. Any exposure with respect to these pre-2017 years has been sufficiently recorded in the financial statements. Potential state and local examinations for those years are generally restricted to results that are based on closed U.S. federal examinations.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 of a tax allocation agreement (together with amendments to the tax allocation agreement, the “TAA”) between Genworth and certain of our subsidiaries. The TAA was approved by state insurance regulators and our Board of Directors. The tax allocation methodology is based on the separate return liabilities with offsets for losses and credits utilized to reduce the current consolidated tax liability as allowed by applicable law and regulation. Our policy is to settle intercompany tax balances quarterly, with a final settlement after filing of Genworth’s federal consolidated U.S. corporate income tax return.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 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Separate Return Method</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If during the year ended December 31, 2020, we had computed taxes using the separate return method, the unaudited pro forma provision for income taxes would remain unchanged.</w:t>
      </w:r>
    </w:p>
    <w:p>
      <w:pPr>
        <w:spacing w:after="0" w:line="122"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consolidated company within Genworth, our employees are generally provided a number of Genworth employee benefits. Genworth, as sponsor of the plans described below (collectively, “Shared Plans”), is ultimately responsible for maintenance of these plans in compliance with applicable laws. Our obligation results from an allocation of our share of expenses from Genworth’s plans based 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5" w:right="339" w:bottom="1440" w:gutter="0" w:footer="0" w:header="0"/>
        </w:sectPr>
      </w:pPr>
    </w:p>
    <w:bookmarkStart w:id="234" w:name="page235"/>
    <w:bookmarkEnd w:id="23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eligible earnings. Benefits eligible earnings includes base pay, overtime, annual incentives and sales commissions.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both 2020 and 2019.</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$0.8 million and $0.6 million for 2020 and 2019, respectively. Expenses allocated to us for qualified and non-qualified defined benefit pension plans were $0.3 million in both 2020 and 2019.</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provides retiree health benefits to our employees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were within 10 years of retirement eligibility as of January 1, 2010. Genworth also provides retiree life and long-term care insurance benefits. Expenses allocated to us for retiree health and life insurance benefits plans were $0.5 million and $0.6 million for the years ended December 31, 2020 and 2019, respectively.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Savings Plans</w:t>
      </w:r>
    </w:p>
    <w:p>
      <w:pPr>
        <w:spacing w:after="0" w:line="19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Our employees participate in qualified and non-qualified defined contribution savings plans that allow employees to contribute a portion of their pay to the plan on a pre-tax basis. Genworth makes matching contributions equal to 100% of the first 4% of pay deferred by an employee and 50% of the next 2% of pay deferred by an employee so that our matching contribution does not exceed 5% of an employee’s pay. Employees do not vest immediately in Genworth matching contributions but fully vest in the matching contributions after two complete years of service. One option available to employees in the defined contribution savings plan is the ClearCourse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variable annuity option offered by certain of Genworth’s life insurance subsidiaries.</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January 2021, employees also had the option of purchasing a fund which invests primarily in Genworth stock as part of the defined contribution savings plan. Several years ago, Genworth had contracted with Newport Trust Company (“Newport”) to act as an independent fiduciary and investment manager with respect to Genworth stock in the defined contribution savings plan. The independent fiduciary’s role is to act on behalf of a plan to protect the interests of participants and beneficiaries. As part of its on-going process, on January 8, 2021, Newport froze the fund due to uncertainty around the feasibility of Genworth executing on its strategic plans. Accordingly, future investments or transfers into the fund are no longer permitted.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 associated with these plans was $3.2 million and $3.1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5" w:right="339" w:bottom="1440" w:gutter="0" w:footer="0" w:header="0"/>
        </w:sectPr>
      </w:pPr>
    </w:p>
    <w:bookmarkStart w:id="235" w:name="page236"/>
    <w:bookmarkEnd w:id="23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among others. Our long-term care insurance is provided through Genworth’s long-term care insurance products.</w:t>
      </w:r>
    </w:p>
    <w:p>
      <w:pPr>
        <w:spacing w:after="0" w:line="12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2020, all share-based awards held by our employees, including stock options, were granted under Genworth’s incentive plans described below. We have not issued any share-based awards.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May 2012, share-based awards were granted to employees and directors, including stock options, stock appreciation rights (“SARs”) and restricted stock units (“RSUs”) under the 2004 Genworth Financial, Inc. Omnibus Incentive Plan (the “2004 Omnibus Incentive Plan”). In May 2012, the 2012 Genworth Financial, Inc. Omnibus Incentive Plan (the “2012 Omnibus Incentive Plan”) was approved by Genworth’s stockholders. Under the 2012 Omnibus Incentive Plan, Genworth was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Genworth’s stockholders. Under the 2018 Omnibus Incentive Plan, Genworth is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Share-based compensation expense under the Omnibus Incentive Plans was $4.4 million and $2.9 million for the years ended December 31, 2020 and 2019, respectively, and was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determining the fair value of share-based payment awards on the date of grant, Genworth has historically used the Black-Scholes Model. However, no SARs or stock options were granted during 2020 and 2019, and therefore the Black-Scholes Model was not used in those respective years. The Black-Scholes Model requires the input of certain assumptions that involve judgment. Circumstances may change, and additional data may become available over time, which could result in changes to these assumptions and methodologies.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2020 and 2019, Genworth issued RSUs to our employees with average restriction periods of three years, with a fair value of $3.53 and $3.36, respectively, which were measured at the market price of a share of Genworth’s Class A Common Stock on the grant date.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2020 and 2019, Genworth granted performance stock units (“PSUs”) to our employees with a fair value of $3.03 and $4.61, respectively. The PSUs were granted at market price as of the approval date by Genworth’s Board of Directors. PSUs may be earned over a three-year period based upon the achievement of certain performance goals.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PSUs granted in 2020 have a three-year measurement period starting on January 1, 2020, going through December 31, 2022. The performance metrics are based on adjusted operating income of Genworth’s U.S. Mortgage Insurance and Australia Mortgage Insurance segments and gross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5" w:right="339" w:bottom="1440" w:gutter="0" w:footer="0" w:header="0"/>
        </w:sectPr>
      </w:pPr>
    </w:p>
    <w:bookmarkStart w:id="236" w:name="page237"/>
    <w:bookmarkEnd w:id="23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annual premiums in Genworth’s long-term care insurance business, defined as approved weighted-average premium rate increases multiplied by the annualized in-force premiums.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PSUs granted in 2019 have a three-year measurement period starting on January 1, 2019 going through December 31, 2021. The performance metric is based on consolidated Genworth’s adjusted operating income.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PSU awards granted, the compensation committee of Genworth’s Board of Directors determines and approves no later than March 15, following the end of the three-year performance period for each applicable performance period, the number of units earned and vested for each distinct performance period.</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the years ended December 31, 2020 and 2019, we recorded less than $1.0 million of expense in each year associated with our PSUs.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2020 and 2019, Genworth granted cash awards with a fair value of $ 1.00. Genworth has performance-based cash awards, which vest and payout after three years. Genworth also has time-based cash awards, which vest over three years, with a third of the payout occurring per year as determined by the vesting period, beginning on the first anniversary of the grant date. The following table summarizes cash award activity as of December 31, 2020 and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 awards in thousands)</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Performance-based</w:t>
            </w: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Time-based</w:t>
            </w:r>
          </w:p>
        </w:tc>
        <w:tc>
          <w:tcPr>
            <w:tcW w:w="0" w:type="dxa"/>
            <w:vAlign w:val="bottom"/>
          </w:tcPr>
          <w:p>
            <w:pPr>
              <w:spacing w:after="0"/>
              <w:rPr>
                <w:sz w:val="1"/>
                <w:szCs w:val="1"/>
                <w:color w:val="auto"/>
              </w:rPr>
            </w:pPr>
          </w:p>
        </w:tc>
      </w:tr>
      <w:tr>
        <w:trPr>
          <w:trHeight w:val="176"/>
        </w:trPr>
        <w:tc>
          <w:tcPr>
            <w:tcW w:w="8020" w:type="dxa"/>
            <w:vAlign w:val="bottom"/>
            <w:gridSpan w:val="2"/>
            <w:vMerge w:val="continue"/>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cash awards</w:t>
            </w:r>
          </w:p>
        </w:tc>
        <w:tc>
          <w:tcPr>
            <w:tcW w:w="120" w:type="dxa"/>
            <w:vAlign w:val="bottom"/>
          </w:tcPr>
          <w:p>
            <w:pPr>
              <w:spacing w:after="0"/>
              <w:rPr>
                <w:sz w:val="15"/>
                <w:szCs w:val="15"/>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cash awards</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adjustment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(1,178)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ind w:left="340"/>
              <w:spacing w:after="0"/>
              <w:rPr>
                <w:sz w:val="20"/>
                <w:szCs w:val="20"/>
                <w:color w:val="auto"/>
              </w:rPr>
            </w:pPr>
            <w:r>
              <w:rPr>
                <w:rFonts w:ascii="Arial" w:cs="Arial" w:eastAsia="Arial" w:hAnsi="Arial"/>
                <w:sz w:val="18"/>
                <w:szCs w:val="18"/>
                <w:color w:val="auto"/>
              </w:rPr>
              <w:t>The following table summarizes stock option activity as of December 31, 2020 and 2019:</w:t>
            </w: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24"/>
                <w:szCs w:val="2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5"/>
        </w:trPr>
        <w:tc>
          <w:tcPr>
            <w:tcW w:w="8020" w:type="dxa"/>
            <w:vAlign w:val="bottom"/>
            <w:gridSpan w:val="2"/>
            <w:vMerge w:val="continue"/>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5"/>
                <w:szCs w:val="15"/>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Expired and 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Exercisable as of December 31, 2020</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5" w:right="339" w:bottom="1440" w:gutter="0" w:footer="0" w:header="0"/>
        </w:sectPr>
      </w:pPr>
    </w:p>
    <w:bookmarkStart w:id="237" w:name="page238"/>
    <w:bookmarkEnd w:id="23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stock options outstanding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status of other equity-based awards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PSUs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SARs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6"/>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Awards in thousands</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Terminated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2020, and 2019, total unrecognized share-based compensation expense related to non-vested awards not yet recognized was $1.4 million and $0.9 million, respectively. This expense is expected to be recognized over a weighted-average period of approximately two years and less than one year, respectively.</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2020 and 2019, there was no cash received from stock options exercised in each year. New shares were issued to settle all exercised awards. The actual tax benefit realized for the tax deductions from the exercise of share-based awards was $0.8 million and $0.9 million as of December 31, 2020 and 2019, respectively.</w:t>
      </w:r>
    </w:p>
    <w:p>
      <w:pPr>
        <w:spacing w:after="0" w:line="12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$50.3 million and $37.0 million in 2020 and 2019, respectively.</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consolidated statements of income. The total investment expenses paid to Genworth were $5.2 million and $4.1 million for the years ended December 31, 2020 and 2019, respectively.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 See Note 9 and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5" w:right="339" w:bottom="1440" w:gutter="0" w:footer="0" w:header="0"/>
        </w:sectPr>
      </w:pPr>
    </w:p>
    <w:bookmarkStart w:id="238" w:name="page239"/>
    <w:bookmarkEnd w:id="23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provide certain information technology and administrative services (such as facilities and maintenance) to Genworth. We charged Genworth $1.3 million and $1.5 million for these services in 2020 and 2019, respectively.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previously held an investment in common shares of Genworth Canada. Genworth Canada was consolidated within Genworth until its sale on December 12, 2019. We received dividends from Genworth Canada of $41.9 million in 2019, which is included within change in fair value of unconsolidated affiliate, net of tax in the consolidated statements of income.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paid cash dividends of $437.4 million and $250.0 million to Genworth in 2020 and 2019, respectively. The amount and timing of future dividends will depend on the economic recovery from COVID-19, among other factors. Refer to Note 13 for further details on dividend restrictions.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related to this agreement are settled at least annually. Refer to Note 8 for further details.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Genworth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Amounts receivable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997</w:t>
            </w:r>
          </w:p>
        </w:tc>
      </w:tr>
    </w:tbl>
    <w:p>
      <w:pPr>
        <w:spacing w:after="0" w:line="234"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lease certain office facilities, equipment and automobiles under operating leases. Operating lease expenses were approximately $4.0 million and $4.2 million for the years ended December 31, 2020 and 2019, respectively. See Note 2 for additional information related to operating leases. The following table presents future minimum rent payments under operating leases as of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Future minimum payments</w:t>
            </w:r>
          </w:p>
        </w:tc>
        <w:tc>
          <w:tcPr>
            <w:tcW w:w="0" w:type="dxa"/>
            <w:vAlign w:val="bottom"/>
          </w:tcPr>
          <w:p>
            <w:pPr>
              <w:spacing w:after="0"/>
              <w:rPr>
                <w:sz w:val="1"/>
                <w:szCs w:val="1"/>
                <w:color w:val="auto"/>
              </w:rPr>
            </w:pPr>
          </w:p>
        </w:tc>
      </w:tr>
      <w:tr>
        <w:trPr>
          <w:trHeight w:val="175"/>
        </w:trPr>
        <w:tc>
          <w:tcPr>
            <w:tcW w:w="93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under operating leases</w:t>
            </w: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30"/>
        </w:trPr>
        <w:tc>
          <w:tcPr>
            <w:tcW w:w="93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9"/>
        </w:trPr>
        <w:tc>
          <w:tcPr>
            <w:tcW w:w="93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20,434</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and Regulatory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face the risk of litigation and regulatory investigations and actions in the ordinary course of operating our business and are also subject to litigation arising out of our general business activities, such as our contractual and employment relationships. Past legal and regulatory actions include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5" w:right="339" w:bottom="1440" w:gutter="0" w:footer="0" w:header="0"/>
        </w:sectPr>
      </w:pPr>
    </w:p>
    <w:bookmarkStart w:id="239" w:name="page240"/>
    <w:bookmarkEnd w:id="23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specific to us and others generally applicable to business practices in the mortgage insurance industry in which we operate. We have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us may seek very large or indeterminate amounts which may remain unknown for substantial periods of time. In addition, we are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us could have an adverse effect on our business, financial condition and results of operations. Moreover, even if we ultimately prevail in the litigation, regulatory action or investigation, we could suffer significant reputational harm, which could have an adverse effect on our business, financial condition or results of operations.</w:t>
      </w:r>
    </w:p>
    <w:p>
      <w:pPr>
        <w:spacing w:after="0" w:line="13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2020, we did not have any prescribed or permitted statutory accounting practices that resulted in reported statutory surplus or risk-to-capital ratios being different from what would have been reported had NAIC statutory accounting practices been followed.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171" w:lineRule="exact"/>
        <w:rPr>
          <w:sz w:val="20"/>
          <w:szCs w:val="20"/>
          <w:color w:val="auto"/>
        </w:rPr>
      </w:pPr>
    </w:p>
    <w:p>
      <w:pPr>
        <w:jc w:val="both"/>
        <w:ind w:left="660" w:hanging="328"/>
        <w:spacing w:after="0" w:line="253"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5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43" w:lineRule="exact"/>
        <w:rPr>
          <w:rFonts w:ascii="Arial" w:cs="Arial" w:eastAsia="Arial" w:hAnsi="Arial"/>
          <w:sz w:val="18"/>
          <w:szCs w:val="18"/>
          <w:color w:val="auto"/>
        </w:rPr>
      </w:pPr>
    </w:p>
    <w:p>
      <w:pPr>
        <w:jc w:val="both"/>
        <w:ind w:left="660" w:hanging="328"/>
        <w:spacing w:after="0" w:line="252" w:lineRule="auto"/>
        <w:tabs>
          <w:tab w:leader="none" w:pos="6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225" w:right="339" w:bottom="1440" w:gutter="0" w:footer="0" w:header="0"/>
        </w:sectPr>
      </w:pPr>
    </w:p>
    <w:bookmarkStart w:id="240" w:name="page241"/>
    <w:bookmarkEnd w:id="24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hanging="328"/>
        <w:spacing w:after="0" w:line="254"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we do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4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in our U.S. GAAP financial statements.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847,384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Statutory policyholders’ surplus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1,555,035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1,632,518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Contingency reserve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2,031,563</w:t>
            </w: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insurers are not subject to the NAIC’s risk-based capital (“RBC”) requirements, but certain states and other regulators impose another form of capital requirement on mortgage insurers requiring maintenance of a risk-to-capital ratio not to exceed 25:1. Our insurance subsidiaries are domiciled in North Carolina. Fifteen other states maintain similar risk-to-capital requirements. As of December 31, 2020 and 2019, the risk-to-capital ratio for our combined insurance subsidiaries under the current regulatory framework as established under North Carolina law and enforced by the North Carolina Department of Insurance (“NCDOI”) was approximately 12.1:1 and 12.2:1, respectively. Each of our insurance subsidiaries met its respective capital requirement as of December 31, 2020.</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9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GSE in order to remain eligible to insure loans that are purchased by the GSEs. Each approved mortgage insurer is required to provide the GSEs with an annual certification and a quarterly report as to its compliance with PMIERs.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retroactively on June 30, 2020, and includes a new Section V (Delinquency Reporting), which became effective on December 31, 2020. On December 4, 2020, the GSEs issued a revised and restated version of the PMIERs Amendment that revised and replaced the version issued in September 2020. The December 4, 2020 version extended the application of reduced PMIERs capital factors to each non-performing loan that has an initial missed monthly payment occurring on or after March 1, 2020 and prior to April 1, 2021 and capital preservation period from March 31, 2021 to June 30, 2021.</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(generally only the most liquid assets of an insurer) must meet or exceed “Minimum Required Assets” (which are based on an insurer’s risk-in-force (“RIF”) and are calculated from tables of factors with several risk dimensions and are subject to a floor amount) and otherwise generally establish when a mortgage insurer is qualified to issue coverage that will be acceptable to the respective GSE for acquisition of high lone-to-value (”LTV”) mortgages. The GSEs may amend or waive PMIERs at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5" w:right="339" w:bottom="1440" w:gutter="0" w:footer="0" w:header="0"/>
        </w:sectPr>
      </w:pPr>
    </w:p>
    <w:bookmarkStart w:id="241" w:name="page242"/>
    <w:bookmarkEnd w:id="24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discretion, impose additional conditions or restrictions on us and also have broad discretion to interpret PMIERs, which could impact the calculation of our “Available Assets” and/or “Minimum Required Assets.” The amount of capital that GMICO may be required in the future to maintain the “Minimum Required Assets” as defined in PMIERs, and operate our business is dependent upon, among other things: (i) the way PMIERs are applied and interpreted by the GSEs and the Federal Housing Finance Agency (“FHFA”) as and after they are implemented;</w:t>
      </w:r>
    </w:p>
    <w:p>
      <w:pPr>
        <w:spacing w:after="0" w:line="1" w:lineRule="exact"/>
        <w:rPr>
          <w:sz w:val="20"/>
          <w:szCs w:val="20"/>
          <w:color w:val="auto"/>
        </w:rPr>
      </w:pPr>
    </w:p>
    <w:p>
      <w:pPr>
        <w:jc w:val="both"/>
        <w:ind w:firstLine="8"/>
        <w:spacing w:after="0" w:line="251" w:lineRule="auto"/>
        <w:tabs>
          <w:tab w:leader="none" w:pos="2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future performance of the housing market, including as a result of COVID-19 and the length and speed of recovery;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credit risk transfer (“CRT”) transactions on our anticipated terms and timetable, which, as applicable, are subject to market conditions, third-party approvals and other actions (including approval by the GSEs), and other factors that are outside of our control and (ii) our ability to contribute holding company cash or other sources of capital to satisfy the portion of the financial requirements that are not satisfied through these transactions.</w:t>
      </w:r>
    </w:p>
    <w:p>
      <w:pPr>
        <w:spacing w:after="0" w:line="15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monthly payment occurring on or after March 1, 2020 and prior to April 1, 2021 or (ii) is subject to a forbearance plan granted in response to a financial hardship related to COVID-19,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above, absent the loan being subject to a forbearance plan described in</w:t>
      </w:r>
    </w:p>
    <w:p>
      <w:pPr>
        <w:spacing w:after="0" w:line="3" w:lineRule="exact"/>
        <w:rPr>
          <w:sz w:val="20"/>
          <w:szCs w:val="20"/>
          <w:color w:val="auto"/>
        </w:rPr>
      </w:pPr>
    </w:p>
    <w:p>
      <w:pPr>
        <w:jc w:val="both"/>
        <w:ind w:firstLine="8"/>
        <w:spacing w:after="0" w:line="252"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PMIERs Amendment additionally imposes permanent revisions to the risk-based required asset amount factor for non-performing loans for properties located in future Federal Emergency Management Agency (“FEMA”)-Declared Major Disaster Areas eligible for individual assistance.</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The GSEs require our mortgage insurance subsidiaries to maintain a maximum statutory RTC ratio of 18:1 or they reserve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5" w:right="339" w:bottom="1440" w:gutter="0" w:footer="0" w:header="0"/>
        </w:sectPr>
      </w:pPr>
    </w:p>
    <w:bookmarkStart w:id="242" w:name="page243"/>
    <w:bookmarkEnd w:id="24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reevaluate the amount of PMIERs credit for reinsurance and other CRT transactions available under PMIERs indicated in their approval letters.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met all PMIERs reporting requirements as required by the GSEs. As of December 31, 2020, we had available assets of $4,588 million against $3,359 million net required assets under PMIERs, compared to available assets of $3,811 million against $2,754 million net required assets as of December 31, 2019. The sufficiency above the published PMIERs financial requirements as of December 31, 2020, was $1,229 million, compared to $1,057 million above the published PMIERs requirements as of December 31, 2019, resulting in a PMIERs sufficiency ratio of 137% and 138% as of December 31, 2020 and 2019, respectively, which in each case, was above the requirement imposed by the GSE Restrictions that required us to maintain a PMIERs sufficiency ratio of 115% in 2020. In addition, our PMIERs required assets as of December 31, 2020, benefited from the application of a 0.30 multiplier applied to the risk-based required asset amount factor for certain non-performing loans. The application of the 0.30 multiplier to all eligible delinquencies provided $ 1,046 million of benefit to our December 31, 2020 PMIERs required assets. Our credit risk transfer transactions provided an estimated aggregate of $936 million of PMIERs capital credit as of December 31, 2020.</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majority of our investments are held by our regulated U.S. mortgage insurance subsidiaries which may be limited in their ability to make dividends or distributions to a holding company in the future due to restrictions related to their capital levels. Our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our U.S. mortgage insurance subsidiaries are subject to review and potential disapproval by the N.C.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5" w:right="339" w:bottom="1440" w:gutter="0" w:footer="0" w:header="0"/>
        </w:sectPr>
      </w:pPr>
    </w:p>
    <w:bookmarkStart w:id="243" w:name="page244"/>
    <w:bookmarkEnd w:id="24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results as of December 31, 2020, in accordance with applicable dividend restrictions, our U.S. mortgage insurance subsidiaries could pay dividends or distributions from unassigned surplus of approximately $199.0 million in 2021 without obtaining prior regulatory approval, although notice of the intent to pay must be provided to the Commissioner 30 days in advance thereof.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r>
              <w:rPr>
                <w:rFonts w:ascii="Arial" w:cs="Arial" w:eastAsia="Arial" w:hAnsi="Arial"/>
                <w:sz w:val="18"/>
                <w:szCs w:val="18"/>
                <w:b w:val="1"/>
                <w:bCs w:val="1"/>
                <w:color w:val="auto"/>
                <w:w w:val="99"/>
              </w:rPr>
              <w:t>(14)</w:t>
            </w:r>
          </w:p>
        </w:tc>
        <w:tc>
          <w:tcPr>
            <w:tcW w:w="7640" w:type="dxa"/>
            <w:vAlign w:val="bottom"/>
          </w:tcPr>
          <w:p>
            <w:pPr>
              <w:ind w:left="3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gains (losses) on</w:t>
            </w:r>
          </w:p>
        </w:tc>
        <w:tc>
          <w:tcPr>
            <w:tcW w:w="38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7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2019, net of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120,505</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2020, net of tax</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112,307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208,378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the respective line items of the consolidated statements of income:</w:t>
      </w:r>
    </w:p>
    <w:p>
      <w:pPr>
        <w:spacing w:after="0" w:line="191"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Amounts reclassified</w:t>
      </w:r>
    </w:p>
    <w:p>
      <w:pPr>
        <w:jc w:val="center"/>
        <w:ind w:left="1320"/>
        <w:spacing w:after="0" w:line="201" w:lineRule="auto"/>
        <w:rPr>
          <w:sz w:val="20"/>
          <w:szCs w:val="20"/>
          <w:color w:val="auto"/>
        </w:rPr>
      </w:pPr>
      <w:r>
        <w:rPr>
          <w:rFonts w:ascii="Arial" w:cs="Arial" w:eastAsia="Arial" w:hAnsi="Arial"/>
          <w:sz w:val="14"/>
          <w:szCs w:val="14"/>
          <w:b w:val="1"/>
          <w:bCs w:val="1"/>
          <w:color w:val="auto"/>
        </w:rPr>
        <w:t>from accumulated other</w:t>
      </w:r>
    </w:p>
    <w:p>
      <w:pPr>
        <w:jc w:val="center"/>
        <w:ind w:left="1320"/>
        <w:spacing w:after="0"/>
        <w:rPr>
          <w:sz w:val="20"/>
          <w:szCs w:val="20"/>
          <w:color w:val="auto"/>
        </w:rPr>
      </w:pPr>
      <w:r>
        <w:rPr>
          <w:rFonts w:ascii="Arial" w:cs="Arial" w:eastAsia="Arial" w:hAnsi="Arial"/>
          <w:sz w:val="14"/>
          <w:szCs w:val="14"/>
          <w:b w:val="1"/>
          <w:bCs w:val="1"/>
          <w:color w:val="auto"/>
        </w:rPr>
        <w:t>comprehensive income (loss)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Affected line item in consolidated</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Benefit (expense)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(147)</w:t>
            </w:r>
          </w:p>
        </w:tc>
        <w:tc>
          <w:tcPr>
            <w:tcW w:w="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basic earnings per share computation is based on the weighted average number of shares of common stock outstanding. For the years ended December 31, 2020 and 2019, we had no instruments outstanding that would be dilutive to earnings per share.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outstanding share amounts)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to GMHI common shareholders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5" w:right="339" w:bottom="1440" w:gutter="0" w:footer="0" w:header="0"/>
        </w:sectPr>
      </w:pPr>
    </w:p>
    <w:bookmarkStart w:id="244" w:name="page245"/>
    <w:bookmarkEnd w:id="24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February 4, 2021, we executed an excess of loss reinsurance transaction with a panel of reinsurers, which will provide up to $210.4 million of reinsurance coverage on a portion of current and expected new insurance written for the 2021 book year, effective January 1, 2021.</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 2021, we obtained $495.0 million of excess of loss reinsurance coverage from Triangle Re 2021-1 Ltd. (“Triangle Re 2021-1”) on a portfolio of existing seasoned mortgage insurance policies written from January 2014 through December 2018 and from October 2019 through December 2019. In connection with entering into the reinsurance agreement with Triangle Re 2021-1, we concluded that the risk transfer requirements for reinsurance accounting were met as Triangle Re 2021-1 is assuming significant insurance risk and a reasonable possibility of significant loss. For the reinsurance coverage, we retain the first layer of aggregate losses up to $212.1 million. Triangle Re 2021-1 provides 100.0% reinsurance coverage for losses above our retained first layer up to $495.0 million.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subsequent events through the date on which the financial statements were issued, 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225"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amortized cost, fair value and carrying value of our invested assets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Carrying value</w:t>
            </w:r>
          </w:p>
        </w:tc>
      </w:tr>
      <w:tr>
        <w:trPr>
          <w:trHeight w:val="174"/>
        </w:trPr>
        <w:tc>
          <w:tcPr>
            <w:tcW w:w="6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138,224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172,631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187,377</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2,695,009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2,888,625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2,888,625</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578,295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607,669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asset-backed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1,172,174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1,193,670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1,193,670</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4,781,916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5,046,596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5" w:right="339" w:bottom="1440" w:gutter="0" w:footer="0" w:header="0"/>
        </w:sectPr>
      </w:pPr>
    </w:p>
    <w:bookmarkStart w:id="246" w:name="page247"/>
    <w:bookmarkEnd w:id="246"/>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4,333,551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3,827,072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Equity: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1,303,106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3,881,811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4,637,701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225" w:right="339" w:bottom="1440" w:gutter="0" w:footer="0" w:header="0"/>
        </w:sectPr>
      </w:pPr>
    </w:p>
    <w:bookmarkStart w:id="247" w:name="page248"/>
    <w:bookmarkEnd w:id="247"/>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 and equity in income of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Loss before equity in income of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677,628</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225" w:right="339" w:bottom="1440" w:gutter="0" w:footer="0" w:header="0"/>
        </w:sectPr>
      </w:pPr>
    </w:p>
    <w:bookmarkStart w:id="248" w:name="page249"/>
    <w:bookmarkEnd w:id="248"/>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 temporarily impaired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485,368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797,581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225" w:right="339" w:bottom="1440" w:gutter="0" w:footer="0" w:header="0"/>
        </w:sectPr>
      </w:pPr>
    </w:p>
    <w:bookmarkStart w:id="249" w:name="page250"/>
    <w:bookmarkEnd w:id="249"/>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370,421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Equity in income from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(384,812)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(677,628)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from subsidiaries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Change in certain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issuance of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paid to Genworth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300,298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300,315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Non-cash capital contributions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capital contributions to subsidiaries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225" w:right="339" w:bottom="1440" w:gutter="0" w:footer="0" w:header="0"/>
        </w:sectPr>
      </w:pPr>
    </w:p>
    <w:bookmarkStart w:id="250" w:name="page251"/>
    <w:bookmarkEnd w:id="250"/>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and 2019</w:t>
      </w:r>
    </w:p>
    <w:p>
      <w:pPr>
        <w:spacing w:after="0" w:line="149"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purpose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Genworth Mortgage Holdings, Inc. (“GMHI”) has been a wholly owned subsidiary of Genworth since GMHI’s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GMHI is a holding company whose subsidiaries offer U.S. mortgage insurance products.</w:t>
      </w:r>
    </w:p>
    <w:p>
      <w:pPr>
        <w:spacing w:after="0" w:line="129"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GMHI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GMHI includes in its statements of income equity in income of subsidiaries, which represents the net income of each of its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Borrowings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The following table sets forth long-term borrowings as of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6.5% Senior Notes, due 2025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borrowing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GMHI issued $750 million in aggregate principal amount of 6.5% senior notes due in 2025. GMHI incurred $12.6 million of borrowing costs that were deferred and were netted against the principal amount of the notes. Interest on the notes is payable semi-annually in arrears on February 15 and August 15 of each year, commencing on February 15, 2021. These notes mature on August 15, 2025. GMHI may redeem the notes in whole or in part at any time prior to February 15, 2025, at GMHI’s option by paying a make-whole premium plus accrued and unpaid interest, if any. At any time on or after February 15, 2025, GMHI may redeem the notes in whole or in part at its option at 100% of the principal amount plus accrued and unpaid interest. The notes contain customary events of default which, subject to certain notice and cure conditions, can result in the acceleration of the principal and accrued interest on the outstanding notes if GMHI breaches the terms of the indenture.</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GMHI committed to retain $300 million of the net proceeds from the issuance of these notes that can be drawn down exclusively for its debt service or to contribute to GMICO to meet its regulatory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5" w:right="339" w:bottom="1440" w:gutter="0" w:footer="0" w:header="0"/>
        </w:sectPr>
      </w:pPr>
    </w:p>
    <w:bookmarkStart w:id="251" w:name="page252"/>
    <w:bookmarkEnd w:id="2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Genworth Mortgage Holdings,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676910</wp:posOffset>
            </wp:positionV>
            <wp:extent cx="16459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PROSPECTUS</w:t>
      </w:r>
    </w:p>
    <w:p>
      <w:pPr>
        <w:spacing w:after="0" w:line="31"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314960</wp:posOffset>
            </wp:positionV>
            <wp:extent cx="16459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782320</wp:posOffset>
            </wp:positionV>
            <wp:extent cx="1645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1159510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3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 securities being registered. All amounts are estimates except the SEC registration fee, the Financial Industry Regulatory Authority (“FINRA”) filing fee and the Nasdaq listing fee. All the expenses below will be paid by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 to be paid</w:t>
            </w: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9640" w:type="dxa"/>
            <w:vAlign w:val="bottom"/>
          </w:tcPr>
          <w:p>
            <w:pPr>
              <w:spacing w:after="0"/>
              <w:rPr>
                <w:sz w:val="20"/>
                <w:szCs w:val="20"/>
                <w:color w:val="auto"/>
              </w:rPr>
            </w:pPr>
            <w:r>
              <w:rPr>
                <w:rFonts w:ascii="Arial" w:cs="Arial" w:eastAsia="Arial" w:hAnsi="Arial"/>
                <w:sz w:val="16"/>
                <w:szCs w:val="16"/>
                <w:color w:val="auto"/>
              </w:rPr>
              <w:t>______________</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964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13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provides that no director of our company shall be personally liable to us or our stockholders for monetary damages for any breach of fiduciary duty as a director, except</w:t>
      </w:r>
    </w:p>
    <w:p>
      <w:pPr>
        <w:spacing w:after="0" w:line="1" w:lineRule="exact"/>
        <w:rPr>
          <w:sz w:val="20"/>
          <w:szCs w:val="20"/>
          <w:color w:val="auto"/>
        </w:rPr>
      </w:pPr>
    </w:p>
    <w:p>
      <w:pPr>
        <w:jc w:val="both"/>
        <w:ind w:firstLine="8"/>
        <w:spacing w:after="0" w:line="252" w:lineRule="auto"/>
        <w:tabs>
          <w:tab w:leader="none" w:pos="2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provides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certificate of incorporation provides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our amended and restated certificate of incorporation provides that the right of each of our directors and executive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Our amended and restated certificate of incorporation will authorize us to provide insurance for our directors, officers, employees and agents against any liability, whether or not we would have the power to indemnify such person against such liability under the DGCL or our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will provide that we will indemnify each of our directors and executive officers to the fullest extent permitted by the DGCL and our amended and restated certificate of incorporation and will provide certain additional procedural and other protections.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intend to maintain a general liability insurance policy which covers certain liabilities of our directors and executive officers arising out of claims based on acts or omissions in their capacities as directors or executive officers.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proposed form of underwriting agreement filed as Exhibit 1.1 provides that the underwriters are required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21, 2020, we issued $ 750 million aggregate principal amount of our 6.500% Senior Notes due 2025. The notes were offered to qualified institutional buyers in the United States in reliance on Rule 144A under the Securities Act and to non-U.S. persons outside the United States in reliance on Regulation S under the Securities Act. The offering price was 100.0%. The total initial purchasers’ discount was approximately $11 million.</w:t>
      </w:r>
    </w:p>
    <w:p>
      <w:pPr>
        <w:spacing w:after="0" w:line="1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8780" w:type="dxa"/>
            <w:vAlign w:val="bottom"/>
            <w:vMerge w:val="restart"/>
          </w:tcPr>
          <w:p>
            <w:pPr>
              <w:ind w:left="30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5"/>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260" w:type="dxa"/>
            <w:vAlign w:val="bottom"/>
          </w:tcPr>
          <w:p>
            <w:pPr>
              <w:spacing w:after="0"/>
              <w:rPr>
                <w:sz w:val="15"/>
                <w:szCs w:val="15"/>
                <w:color w:val="auto"/>
              </w:rPr>
            </w:pPr>
          </w:p>
        </w:tc>
        <w:tc>
          <w:tcPr>
            <w:tcW w:w="8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9"/>
                <w:szCs w:val="19"/>
                <w:color w:val="auto"/>
              </w:rPr>
            </w:pPr>
          </w:p>
        </w:tc>
        <w:tc>
          <w:tcPr>
            <w:tcW w:w="100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88"/>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16"/>
                <w:szCs w:val="16"/>
                <w:color w:val="auto"/>
              </w:rPr>
            </w:pPr>
          </w:p>
        </w:tc>
        <w:tc>
          <w:tcPr>
            <w:tcW w:w="10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Form of Amended and Restated Certificate of Incorporation of Genworth Mortgage Holdings, Inc., to be in effect on the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completion of the offering.</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w w:val="99"/>
              </w:rPr>
              <w:t>Form of Amended and Restated Bylaws of Genworth Mortgage Holdings, Inc., to be in effect on the completion of the offering.</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188"/>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6"/>
                <w:szCs w:val="16"/>
                <w:color w:val="auto"/>
              </w:rPr>
            </w:pPr>
          </w:p>
        </w:tc>
        <w:tc>
          <w:tcPr>
            <w:tcW w:w="10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Indenture, dated August 21, 2020, between Genworth Mortgage Holdings, Inc. and The Bank of New York Mellon Trust</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Company, N.A., as trustee.</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Opinion of Sidley Austin LLP.</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Master Agreement.</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Registration Rights Agreement.</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Shared Services Agreements.</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Intellectual Property Cross License Agreement.</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Transitional Trademark License Agreement.</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8"/>
              </w:rPr>
              <w:t>10.6+*</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Form of Genworth Mortgage Holdings, Inc. 2021 Omnibus Incentive Plan.</w:t>
            </w:r>
          </w:p>
        </w:tc>
        <w:tc>
          <w:tcPr>
            <w:tcW w:w="0" w:type="dxa"/>
            <w:vAlign w:val="bottom"/>
          </w:tcPr>
          <w:p>
            <w:pPr>
              <w:spacing w:after="0"/>
              <w:rPr>
                <w:sz w:val="1"/>
                <w:szCs w:val="1"/>
                <w:color w:val="auto"/>
              </w:rPr>
            </w:pPr>
          </w:p>
        </w:tc>
      </w:tr>
      <w:tr>
        <w:trPr>
          <w:trHeight w:val="188"/>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9"/>
              </w:rPr>
              <w:t>10.7*</w:t>
            </w:r>
          </w:p>
        </w:tc>
        <w:tc>
          <w:tcPr>
            <w:tcW w:w="100" w:type="dxa"/>
            <w:vAlign w:val="bottom"/>
          </w:tcPr>
          <w:p>
            <w:pPr>
              <w:spacing w:after="0"/>
              <w:rPr>
                <w:sz w:val="16"/>
                <w:szCs w:val="16"/>
                <w:color w:val="auto"/>
              </w:rPr>
            </w:pPr>
          </w:p>
        </w:tc>
        <w:tc>
          <w:tcPr>
            <w:tcW w:w="10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Form of Indemnification Agreement between Genworth Mortgage Holdings, Inc. and each of its directors and executive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officers.</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List of subsidiaries of Genworth Mortgage Holdings, Inc.</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100" w:type="dxa"/>
            <w:vAlign w:val="bottom"/>
          </w:tcPr>
          <w:p>
            <w:pPr>
              <w:spacing w:after="0"/>
              <w:rPr>
                <w:sz w:val="19"/>
                <w:szCs w:val="19"/>
                <w:color w:val="auto"/>
              </w:rPr>
            </w:pPr>
          </w:p>
        </w:tc>
        <w:tc>
          <w:tcPr>
            <w:tcW w:w="10040" w:type="dxa"/>
            <w:vAlign w:val="bottom"/>
            <w:gridSpan w:val="2"/>
          </w:tcPr>
          <w:p>
            <w:pPr>
              <w:ind w:left="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99.1*</w:t>
            </w: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Consent of</w:t>
            </w:r>
          </w:p>
        </w:tc>
        <w:tc>
          <w:tcPr>
            <w:tcW w:w="8780" w:type="dxa"/>
            <w:vAlign w:val="bottom"/>
          </w:tcPr>
          <w:p>
            <w:pPr>
              <w:ind w:left="380"/>
              <w:spacing w:after="0"/>
              <w:rPr>
                <w:sz w:val="20"/>
                <w:szCs w:val="20"/>
                <w:color w:val="auto"/>
              </w:rPr>
            </w:pPr>
            <w:r>
              <w:rPr>
                <w:rFonts w:ascii="Arial" w:cs="Arial" w:eastAsia="Arial" w:hAnsi="Arial"/>
                <w:sz w:val="18"/>
                <w:szCs w:val="18"/>
                <w:color w:val="auto"/>
              </w:rPr>
              <w:t>, a director nominee.</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99.2*</w:t>
            </w: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Consent of</w:t>
            </w:r>
          </w:p>
        </w:tc>
        <w:tc>
          <w:tcPr>
            <w:tcW w:w="8780" w:type="dxa"/>
            <w:vAlign w:val="bottom"/>
          </w:tcPr>
          <w:p>
            <w:pPr>
              <w:ind w:left="380"/>
              <w:spacing w:after="0"/>
              <w:rPr>
                <w:sz w:val="20"/>
                <w:szCs w:val="20"/>
                <w:color w:val="auto"/>
              </w:rPr>
            </w:pPr>
            <w:r>
              <w:rPr>
                <w:rFonts w:ascii="Arial" w:cs="Arial" w:eastAsia="Arial" w:hAnsi="Arial"/>
                <w:sz w:val="18"/>
                <w:szCs w:val="18"/>
                <w:color w:val="auto"/>
              </w:rPr>
              <w:t>, a director nominee.</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99.3*</w:t>
            </w: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Consent of</w:t>
            </w:r>
          </w:p>
        </w:tc>
        <w:tc>
          <w:tcPr>
            <w:tcW w:w="8780" w:type="dxa"/>
            <w:vAlign w:val="bottom"/>
          </w:tcPr>
          <w:p>
            <w:pPr>
              <w:ind w:left="420"/>
              <w:spacing w:after="0"/>
              <w:rPr>
                <w:sz w:val="20"/>
                <w:szCs w:val="20"/>
                <w:color w:val="auto"/>
              </w:rPr>
            </w:pPr>
            <w:r>
              <w:rPr>
                <w:rFonts w:ascii="Arial" w:cs="Arial" w:eastAsia="Arial" w:hAnsi="Arial"/>
                <w:sz w:val="18"/>
                <w:szCs w:val="18"/>
                <w:color w:val="auto"/>
              </w:rPr>
              <w:t>, a director nominee.</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8"/>
                <w:szCs w:val="18"/>
                <w:color w:val="auto"/>
                <w:w w:val="99"/>
              </w:rPr>
              <w:t>99.4*</w:t>
            </w: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Consent of</w:t>
            </w:r>
          </w:p>
        </w:tc>
        <w:tc>
          <w:tcPr>
            <w:tcW w:w="8780" w:type="dxa"/>
            <w:vAlign w:val="bottom"/>
          </w:tcPr>
          <w:p>
            <w:pPr>
              <w:ind w:left="420"/>
              <w:spacing w:after="0"/>
              <w:rPr>
                <w:sz w:val="20"/>
                <w:szCs w:val="20"/>
                <w:color w:val="auto"/>
              </w:rPr>
            </w:pPr>
            <w:r>
              <w:rPr>
                <w:rFonts w:ascii="Arial" w:cs="Arial" w:eastAsia="Arial" w:hAnsi="Arial"/>
                <w:sz w:val="18"/>
                <w:szCs w:val="18"/>
                <w:color w:val="auto"/>
              </w:rPr>
              <w:t>, a director nominee.</w:t>
            </w:r>
          </w:p>
        </w:tc>
        <w:tc>
          <w:tcPr>
            <w:tcW w:w="0" w:type="dxa"/>
            <w:vAlign w:val="bottom"/>
          </w:tcPr>
          <w:p>
            <w:pPr>
              <w:spacing w:after="0"/>
              <w:rPr>
                <w:sz w:val="1"/>
                <w:szCs w:val="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99"/>
              </w:rPr>
              <w:t>99.5*</w:t>
            </w:r>
          </w:p>
        </w:tc>
        <w:tc>
          <w:tcPr>
            <w:tcW w:w="10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Consent of</w:t>
            </w:r>
          </w:p>
        </w:tc>
        <w:tc>
          <w:tcPr>
            <w:tcW w:w="8780" w:type="dxa"/>
            <w:vAlign w:val="bottom"/>
          </w:tcPr>
          <w:p>
            <w:pPr>
              <w:ind w:left="420"/>
              <w:spacing w:after="0"/>
              <w:rPr>
                <w:sz w:val="20"/>
                <w:szCs w:val="20"/>
                <w:color w:val="auto"/>
              </w:rPr>
            </w:pPr>
            <w:r>
              <w:rPr>
                <w:rFonts w:ascii="Arial" w:cs="Arial" w:eastAsia="Arial" w:hAnsi="Arial"/>
                <w:sz w:val="18"/>
                <w:szCs w:val="18"/>
                <w:color w:val="auto"/>
              </w:rPr>
              <w:t>, a director nominee.</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5" w:lineRule="exact"/>
        <w:rPr>
          <w:sz w:val="20"/>
          <w:szCs w:val="20"/>
          <w:color w:val="auto"/>
        </w:rPr>
      </w:pPr>
    </w:p>
    <w:p>
      <w:pPr>
        <w:ind w:left="380" w:hanging="372"/>
        <w:spacing w:after="0"/>
        <w:tabs>
          <w:tab w:leader="none" w:pos="3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Indicates management contract and compensatory plan</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the supplemental schedules listed in the Index of Combined Financial Statements, which are incorporated by reference as if fully set forth herein.</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controlling precedent, submit to a court of appropriate jurisdiction the question whether such indemnification by us is against public policy as expressed in the Securities Act and will be governed by the final adjudication of such issue.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w:t>
      </w:r>
    </w:p>
    <w:p>
      <w:pPr>
        <w:spacing w:after="0" w:line="9" w:lineRule="exact"/>
        <w:rPr>
          <w:sz w:val="20"/>
          <w:szCs w:val="20"/>
          <w:color w:val="auto"/>
        </w:rPr>
      </w:pPr>
    </w:p>
    <w:p>
      <w:pPr>
        <w:spacing w:after="0"/>
        <w:tabs>
          <w:tab w:leader="none" w:pos="7600" w:val="left"/>
          <w:tab w:leader="none" w:pos="8940" w:val="left"/>
        </w:tabs>
        <w:rPr>
          <w:sz w:val="20"/>
          <w:szCs w:val="20"/>
          <w:color w:val="auto"/>
        </w:rPr>
      </w:pPr>
      <w:r>
        <w:rPr>
          <w:rFonts w:ascii="Arial" w:cs="Arial" w:eastAsia="Arial" w:hAnsi="Arial"/>
          <w:sz w:val="18"/>
          <w:szCs w:val="18"/>
          <w:color w:val="auto"/>
        </w:rPr>
        <w:t>behalf by the undersigned, thereunto duly authorized, in Raleigh, North Carolina,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2021.</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6350</wp:posOffset>
            </wp:positionV>
            <wp:extent cx="2931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Rohit Gupta, Dean Mitchell and Evan Stolove, and each of them, as his or her true and lawful attorneys-in-fact and agents, with full power of substitution and resubstitution, for him or her and in his or her name, place and stead, in any and all capacities, to sign this Registration Statement on Form S-1 and any and all amendments (including post-effective amendments) hereto and any registration statements relating to the offering contemplated hereby filed pursuant to Rule 462(b) under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may or could do in person, hereby ratifying and confirming all that said attorneys-in-fact and agents, or any of them or any of his, her or their substitute or substitutes, may lawfully have done or may do or cause to be done by virtue hereof.</w:t>
      </w:r>
    </w:p>
    <w:p>
      <w:pPr>
        <w:spacing w:after="0" w:line="15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the dates indicated :</w:t>
      </w:r>
    </w:p>
    <w:p>
      <w:pPr>
        <w:spacing w:after="0" w:line="172" w:lineRule="exact"/>
        <w:rPr>
          <w:sz w:val="20"/>
          <w:szCs w:val="20"/>
          <w:color w:val="auto"/>
        </w:rPr>
      </w:pPr>
    </w:p>
    <w:p>
      <w:pPr>
        <w:ind w:left="640"/>
        <w:spacing w:after="0"/>
        <w:tabs>
          <w:tab w:leader="none" w:pos="4960" w:val="left"/>
          <w:tab w:leader="none" w:pos="96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Rohit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21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12172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2172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6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18"/>
                <w:szCs w:val="18"/>
                <w:color w:val="auto"/>
              </w:rPr>
            </w:pPr>
          </w:p>
        </w:tc>
      </w:tr>
      <w:tr>
        <w:trPr>
          <w:trHeight w:val="256"/>
        </w:trPr>
        <w:tc>
          <w:tcPr>
            <w:tcW w:w="6480" w:type="dxa"/>
            <w:vAlign w:val="bottom"/>
          </w:tcPr>
          <w:p>
            <w:pPr>
              <w:spacing w:after="0"/>
              <w:rPr>
                <w:sz w:val="20"/>
                <w:szCs w:val="20"/>
                <w:color w:val="auto"/>
              </w:rPr>
            </w:pPr>
            <w:r>
              <w:rPr>
                <w:rFonts w:ascii="Arial" w:cs="Arial" w:eastAsia="Arial" w:hAnsi="Arial"/>
                <w:sz w:val="18"/>
                <w:szCs w:val="18"/>
                <w:color w:val="auto"/>
              </w:rPr>
              <w:t>Senior Vice President and Chief Financial Officer (principal financial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6480" w:type="dxa"/>
            <w:vAlign w:val="bottom"/>
          </w:tcPr>
          <w:p>
            <w:pPr>
              <w:spacing w:after="0"/>
              <w:rPr>
                <w:sz w:val="20"/>
                <w:szCs w:val="20"/>
                <w:color w:val="auto"/>
              </w:rPr>
            </w:pPr>
            <w:r>
              <w:rPr>
                <w:rFonts w:ascii="Arial" w:cs="Arial" w:eastAsia="Arial" w:hAnsi="Arial"/>
                <w:sz w:val="18"/>
                <w:szCs w:val="18"/>
                <w:color w:val="auto"/>
              </w:rPr>
              <w:t>and principal accounting officer)</w:t>
            </w:r>
          </w:p>
        </w:tc>
        <w:tc>
          <w:tcPr>
            <w:tcW w:w="1120" w:type="dxa"/>
            <w:vAlign w:val="bottom"/>
          </w:tcPr>
          <w:p>
            <w:pPr>
              <w:spacing w:after="0"/>
              <w:rPr>
                <w:sz w:val="18"/>
                <w:szCs w:val="18"/>
                <w:color w:val="auto"/>
              </w:rPr>
            </w:pPr>
          </w:p>
        </w:tc>
      </w:tr>
      <w:tr>
        <w:trPr>
          <w:trHeight w:val="391"/>
        </w:trPr>
        <w:tc>
          <w:tcPr>
            <w:tcW w:w="6480" w:type="dxa"/>
            <w:vAlign w:val="bottom"/>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0" w:lineRule="exact"/>
        <w:rPr>
          <w:sz w:val="20"/>
          <w:szCs w:val="20"/>
          <w:color w:val="auto"/>
        </w:rPr>
      </w:pPr>
    </w:p>
    <w:p>
      <w:pPr>
        <w:sectPr>
          <w:pgSz w:w="11900" w:h="16838" w:orient="portrait"/>
          <w:cols w:equalWidth="0" w:num="2">
            <w:col w:w="1320" w:space="720"/>
            <w:col w:w="9200"/>
          </w:cols>
          <w:pgMar w:left="320" w:top="1440" w:right="339" w:bottom="1440" w:gutter="0" w:footer="0" w:header="0"/>
          <w:type w:val="continuous"/>
        </w:sectPr>
      </w:pPr>
    </w:p>
    <w:p>
      <w:pPr>
        <w:spacing w:after="0" w:line="96" w:lineRule="exact"/>
        <w:rPr>
          <w:sz w:val="20"/>
          <w:szCs w:val="20"/>
          <w:color w:val="auto"/>
        </w:rPr>
      </w:pPr>
    </w:p>
    <w:tbl>
      <w:tblPr>
        <w:tblLayout w:type="fixed"/>
        <w:tblInd w:w="2040" w:type="dxa"/>
        <w:tblCellMar>
          <w:top w:w="0" w:type="dxa"/>
          <w:left w:w="0" w:type="dxa"/>
          <w:bottom w:w="0" w:type="dxa"/>
          <w:right w:w="0" w:type="dxa"/>
        </w:tblCellMar>
      </w:tblP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172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lvl w:ilvl="1">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lvl w:ilvl="1">
      <w:lvlJc w:val="left"/>
      <w:lvlText w:val="•"/>
      <w:numFmt w:val="bullet"/>
      <w:start w:val="1"/>
    </w:lvl>
  </w:abstractNum>
  <w:abstractNum w:abstractNumId="10">
    <w:nsid w:val="11447B73"/>
    <w:multiLevelType w:val="hybridMultilevel"/>
    <w:lvl w:ilvl="0">
      <w:lvlJc w:val="left"/>
      <w:lvlText w:val="•"/>
      <w:numFmt w:val="bullet"/>
      <w:start w:val="1"/>
    </w:lvl>
    <w:lvl w:ilvl="1">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1)"/>
      <w:numFmt w:val="decimal"/>
      <w:start w:val="1"/>
    </w:lvl>
  </w:abstractNum>
  <w:abstractNum w:abstractNumId="20">
    <w:nsid w:val="14330624"/>
    <w:multiLevelType w:val="hybridMultilevel"/>
    <w:lvl w:ilvl="0">
      <w:lvlJc w:val="left"/>
      <w:lvlText w:val="%1."/>
      <w:numFmt w:val="decimal"/>
      <w:start w:val="19"/>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1)"/>
      <w:numFmt w:val="lowerRoman"/>
      <w:start w:val="2"/>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lvl w:ilvl="1">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Roman"/>
      <w:start w:val="2"/>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lowerRoman"/>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decimal"/>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lvl w:ilvl="1">
      <w:lvlJc w:val="left"/>
      <w:lvlText w:val="•"/>
      <w:numFmt w:val="bullet"/>
      <w:start w:val="1"/>
    </w:lvl>
  </w:abstractNum>
  <w:abstractNum w:abstractNumId="63">
    <w:nsid w:val="14FCE74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6A3DD3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71C91298"/>
    <w:multiLevelType w:val="hybridMultilevel"/>
    <w:lvl w:ilvl="0">
      <w:lvlJc w:val="left"/>
      <w:lvlText w:val="•"/>
      <w:numFmt w:val="bullet"/>
      <w:start w:val="1"/>
    </w:lvl>
    <w:lvl w:ilvl="1">
      <w:lvlJc w:val="left"/>
      <w:lvlText w:val="•"/>
      <w:numFmt w:val="bullet"/>
      <w:start w:val="1"/>
    </w:lvl>
  </w:abstractNum>
  <w:abstractNum w:abstractNumId="66">
    <w:nsid w:val="9DAF632"/>
    <w:multiLevelType w:val="hybridMultilevel"/>
    <w:lvl w:ilvl="0">
      <w:lvlJc w:val="left"/>
      <w:lvlText w:val="•"/>
      <w:numFmt w:val="bullet"/>
      <w:start w:val="1"/>
    </w:lvl>
    <w:lvl w:ilvl="1">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1)"/>
      <w:numFmt w:val="lowerRoman"/>
      <w:start w:val="3"/>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1)"/>
      <w:numFmt w:val="decimal"/>
      <w:start w:val="1"/>
    </w:lvl>
  </w:abstractNum>
  <w:abstractNum w:abstractNumId="89">
    <w:nsid w:val="2B0D8DBE"/>
    <w:multiLevelType w:val="hybridMultilevel"/>
    <w:lvl w:ilvl="0">
      <w:lvlJc w:val="left"/>
      <w:lvlText w:val="(%1)"/>
      <w:numFmt w:val="decimal"/>
      <w:start w:val="2"/>
    </w:lvl>
  </w:abstractNum>
  <w:abstractNum w:abstractNumId="90">
    <w:nsid w:val="6C80EC70"/>
    <w:multiLevelType w:val="hybridMultilevel"/>
    <w:lvl w:ilvl="0">
      <w:lvlJc w:val="left"/>
      <w:lvlText w:val="(%1)"/>
      <w:numFmt w:val="decimal"/>
      <w:start w:val="3"/>
    </w:lvl>
  </w:abstractNum>
  <w:abstractNum w:abstractNumId="91">
    <w:nsid w:val="379E21B5"/>
    <w:multiLevelType w:val="hybridMultilevel"/>
    <w:lvl w:ilvl="0">
      <w:lvlJc w:val="left"/>
      <w:lvlText w:val="(%1)"/>
      <w:numFmt w:val="decimal"/>
      <w:start w:val="5"/>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decimal"/>
      <w:start w:val="3"/>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1)"/>
      <w:numFmt w:val="lowerRoman"/>
      <w:start w:val="8"/>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decimal"/>
      <w:start w:val="4"/>
    </w:lvl>
  </w:abstractNum>
  <w:abstractNum w:abstractNumId="119">
    <w:nsid w:val="5399C654"/>
    <w:multiLevelType w:val="hybridMultilevel"/>
    <w:lvl w:ilvl="0">
      <w:lvlJc w:val="left"/>
      <w:lvlText w:val="(%1)"/>
      <w:numFmt w:val="decimal"/>
      <w:start w:val="1"/>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decimal"/>
      <w:start w:val="6"/>
    </w:lvl>
  </w:abstractNum>
  <w:abstractNum w:abstractNumId="125">
    <w:nsid w:val="57D2F10E"/>
    <w:multiLevelType w:val="hybridMultilevel"/>
    <w:lvl w:ilvl="0">
      <w:lvlJc w:val="left"/>
      <w:lvlText w:val="(%1)"/>
      <w:numFmt w:val="decimal"/>
      <w:start w:val="8"/>
    </w:lvl>
  </w:abstractNum>
  <w:abstractNum w:abstractNumId="126">
    <w:nsid w:val="BFFAE18"/>
    <w:multiLevelType w:val="hybridMultilevel"/>
    <w:lvl w:ilvl="0">
      <w:lvlJc w:val="left"/>
      <w:lvlText w:val="(%1)"/>
      <w:numFmt w:val="decimal"/>
      <w:start w:val="9"/>
    </w:lvl>
  </w:abstractNum>
  <w:abstractNum w:abstractNumId="127">
    <w:nsid w:val="E3E47A8"/>
    <w:multiLevelType w:val="hybridMultilevel"/>
    <w:lvl w:ilvl="0">
      <w:lvlJc w:val="left"/>
      <w:lvlText w:val="(%1)"/>
      <w:numFmt w:val="decimal"/>
      <w:start w:val="10"/>
    </w:lvl>
  </w:abstractNum>
  <w:abstractNum w:abstractNumId="128">
    <w:nsid w:val="2E48F044"/>
    <w:multiLevelType w:val="hybridMultilevel"/>
    <w:lvl w:ilvl="0">
      <w:lvlJc w:val="left"/>
      <w:lvlText w:val="(%1)"/>
      <w:numFmt w:val="decimal"/>
      <w:start w:val="11"/>
    </w:lvl>
  </w:abstractNum>
  <w:abstractNum w:abstractNumId="129">
    <w:nsid w:val="49D0FEAC"/>
    <w:multiLevelType w:val="hybridMultilevel"/>
    <w:lvl w:ilvl="0">
      <w:lvlJc w:val="left"/>
      <w:lvlText w:val="(%1)"/>
      <w:numFmt w:val="decimal"/>
      <w:start w:val="12"/>
    </w:lvl>
  </w:abstractNum>
  <w:abstractNum w:abstractNumId="130">
    <w:nsid w:val="4BEE5A5B"/>
    <w:multiLevelType w:val="hybridMultilevel"/>
    <w:lvl w:ilvl="0">
      <w:lvlJc w:val="left"/>
      <w:lvlText w:val="(%1)"/>
      <w:numFmt w:val="decimal"/>
      <w:start w:val="13"/>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lowerLetter"/>
      <w:start w:val="4"/>
    </w:lvl>
  </w:abstractNum>
  <w:abstractNum w:abstractNumId="133">
    <w:nsid w:val="634C574C"/>
    <w:multiLevelType w:val="hybridMultilevel"/>
    <w:lvl w:ilvl="0">
      <w:lvlJc w:val="left"/>
      <w:lvlText w:val="(%1)"/>
      <w:numFmt w:val="lowerRoman"/>
      <w:start w:val="2"/>
    </w:lvl>
  </w:abstractNum>
  <w:abstractNum w:abstractNumId="134">
    <w:nsid w:val="24E99DD7"/>
    <w:multiLevelType w:val="hybridMultilevel"/>
    <w:lvl w:ilvl="0">
      <w:lvlJc w:val="left"/>
      <w:lvlText w:val="(%1)"/>
      <w:numFmt w:val="lowerRoman"/>
      <w:start w:val="2"/>
    </w:lvl>
  </w:abstractNum>
  <w:abstractNum w:abstractNumId="135">
    <w:nsid w:val="2A31B62D"/>
    <w:multiLevelType w:val="hybridMultilevel"/>
    <w:lvl w:ilvl="0">
      <w:lvlJc w:val="left"/>
      <w:lvlText w:val="(%1)"/>
      <w:numFmt w:val="decimal"/>
      <w:start w:val="15"/>
    </w:lvl>
  </w:abstractNum>
  <w:abstractNum w:abstractNumId="136">
    <w:nsid w:val="1849C29B"/>
    <w:multiLevelType w:val="hybridMultilevel"/>
    <w:lvl w:ilvl="0">
      <w:lvlJc w:val="left"/>
      <w:lvlText w:val="(%1)"/>
      <w:numFmt w:val="decimal"/>
      <w:start w:val="16"/>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
      <w:numFmt w:val="bullet"/>
      <w:start w:val="1"/>
    </w:lvl>
    <w:lvl w:ilvl="1">
      <w:lvlJc w:val="left"/>
      <w:lvlText w:val="(%2)"/>
      <w:numFmt w:val="lowerLetter"/>
      <w:start w:val="2"/>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2021-04-26T23:14:59Z</dcterms:created>
  <dcterms:modified xsi:type="dcterms:W3CDTF">2021-04-26T23:14:59Z</dcterms:modified>
</cp:coreProperties>
</file>