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88118.xml.htm"/>
      <w:bookmarkStart w:id="1" w:name="kswkform4_17857881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Genworth Holdings,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11011 WEST BROAD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GLEN ALLEN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23"/>
        <w:gridCol w:w="907"/>
        <w:gridCol w:w="779"/>
        <w:gridCol w:w="602"/>
        <w:gridCol w:w="334"/>
        <w:gridCol w:w="991"/>
        <w:gridCol w:w="411"/>
        <w:gridCol w:w="981"/>
        <w:gridCol w:w="1424"/>
        <w:gridCol w:w="947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523,226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45.9192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111,078,346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Share Repurchase Agreement between Enact Holdings, Inc. (the "Issuer") and Genworth Holdings, Inc. dated as of February 2, 2026 (the "Agreement"). A copy of the Agreement can be found as exhibit 99.4 to the Issuer's Form 8-K filed on February 3, 2026, on the SEC's website at: https://www.sec.gov/Archives/edgar/data/1823529/000182352926000003/february2026genworthenacts.htm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price per share determined pursuant to the terms of the Agreement, based on a weighted average price paid by the Issuer for purchases from third-parties.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Genworth Holdings, Inc. owns approximately 81% of the outstanding shares of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J. Baldyga, Vice President and Treasurer on behalf of Genworth Holdings, Inc.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2983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3734</Characters>
  <CharactersWithSpaces>4343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